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hint="eastAsia" w:ascii="Arial" w:hAnsi="Arial" w:eastAsia="宋体" w:cs="Arial"/>
          <w:b/>
          <w:bCs/>
          <w:sz w:val="24"/>
          <w:szCs w:val="24"/>
          <w:lang w:val="en-US" w:eastAsia="zh-CN"/>
        </w:rPr>
      </w:pPr>
      <w:bookmarkStart w:id="0" w:name="OLE_LINK283"/>
      <w:r>
        <w:rPr>
          <w:rFonts w:ascii="Arial" w:hAnsi="Arial" w:cs="Arial"/>
          <w:b/>
          <w:bCs/>
          <w:sz w:val="24"/>
          <w:szCs w:val="24"/>
          <w:lang w:val="en-US" w:eastAsia="en-US"/>
        </w:rPr>
        <w:t>3GPP TSG-RAN WG2 Meeting #11</w:t>
      </w:r>
      <w:r>
        <w:rPr>
          <w:rFonts w:hint="eastAsia" w:ascii="Arial" w:hAnsi="Arial" w:cs="Arial"/>
          <w:b/>
          <w:bCs/>
          <w:sz w:val="24"/>
          <w:szCs w:val="24"/>
          <w:lang w:val="en-US" w:eastAsia="zh-CN"/>
        </w:rPr>
        <w:t xml:space="preserve">2- </w:t>
      </w:r>
      <w:r>
        <w:rPr>
          <w:rFonts w:ascii="Arial" w:hAnsi="Arial" w:cs="Arial"/>
          <w:b/>
          <w:bCs/>
          <w:sz w:val="24"/>
          <w:szCs w:val="24"/>
          <w:lang w:val="en-US" w:eastAsia="en-US"/>
        </w:rPr>
        <w:t>e</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hint="eastAsia" w:ascii="Arial" w:hAnsi="Arial" w:cs="Arial"/>
          <w:b/>
          <w:bCs/>
          <w:sz w:val="24"/>
          <w:szCs w:val="24"/>
          <w:lang w:val="en-US" w:eastAsia="zh-CN"/>
        </w:rPr>
        <w:t xml:space="preserve">        </w:t>
      </w:r>
      <w:bookmarkStart w:id="8" w:name="_GoBack"/>
      <w:bookmarkEnd w:id="8"/>
      <w:r>
        <w:rPr>
          <w:rFonts w:hint="eastAsia" w:ascii="Arial" w:hAnsi="Arial" w:cs="Arial"/>
          <w:b/>
          <w:bCs/>
          <w:sz w:val="24"/>
          <w:szCs w:val="24"/>
          <w:lang w:val="en-US" w:eastAsia="zh-CN"/>
        </w:rPr>
        <w:t xml:space="preserve"> R2-2010211</w:t>
      </w:r>
    </w:p>
    <w:bookmarkEnd w:id="0"/>
    <w:p>
      <w:pPr>
        <w:tabs>
          <w:tab w:val="left" w:pos="1979"/>
        </w:tabs>
        <w:spacing w:after="0" w:line="240" w:lineRule="atLeast"/>
        <w:jc w:val="left"/>
        <w:rPr>
          <w:rFonts w:hint="eastAsia" w:ascii="Arial" w:hAnsi="Arial" w:eastAsia="宋体" w:cs="Arial"/>
          <w:b/>
          <w:bCs/>
          <w:sz w:val="24"/>
          <w:szCs w:val="24"/>
          <w:lang w:val="en-US" w:eastAsia="zh-CN"/>
        </w:rPr>
      </w:pPr>
      <w:r>
        <w:rPr>
          <w:rFonts w:ascii="Arial" w:hAnsi="Arial" w:eastAsia="Tahoma" w:cs="Arial"/>
          <w:b/>
          <w:bCs/>
          <w:sz w:val="22"/>
          <w:szCs w:val="22"/>
          <w:lang w:eastAsia="zh-CN"/>
        </w:rPr>
        <w:t>Electronic, 2</w:t>
      </w:r>
      <w:r>
        <w:rPr>
          <w:rFonts w:ascii="Arial" w:hAnsi="Arial" w:eastAsia="Tahoma" w:cs="Arial"/>
          <w:b/>
          <w:bCs/>
          <w:sz w:val="22"/>
          <w:szCs w:val="22"/>
          <w:vertAlign w:val="superscript"/>
          <w:lang w:eastAsia="zh-CN"/>
        </w:rPr>
        <w:t>nd</w:t>
      </w:r>
      <w:r>
        <w:rPr>
          <w:rFonts w:ascii="Arial" w:hAnsi="Arial" w:eastAsia="Tahoma" w:cs="Arial"/>
          <w:b/>
          <w:bCs/>
          <w:sz w:val="22"/>
          <w:szCs w:val="22"/>
          <w:lang w:eastAsia="zh-CN"/>
        </w:rPr>
        <w:t xml:space="preserve"> Nov. – 13</w:t>
      </w:r>
      <w:r>
        <w:rPr>
          <w:rFonts w:ascii="Arial" w:hAnsi="Arial" w:eastAsia="Tahoma" w:cs="Arial"/>
          <w:b/>
          <w:bCs/>
          <w:sz w:val="22"/>
          <w:szCs w:val="22"/>
          <w:vertAlign w:val="superscript"/>
          <w:lang w:eastAsia="zh-CN"/>
        </w:rPr>
        <w:t>th</w:t>
      </w:r>
      <w:r>
        <w:rPr>
          <w:rFonts w:ascii="Arial" w:hAnsi="Arial" w:eastAsia="Tahoma" w:cs="Arial"/>
          <w:b/>
          <w:bCs/>
          <w:sz w:val="22"/>
          <w:szCs w:val="22"/>
          <w:lang w:eastAsia="zh-CN"/>
        </w:rPr>
        <w:t xml:space="preserve"> Nov. 2020</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hint="eastAsia" w:ascii="Arial" w:hAnsi="Arial" w:cs="Arial"/>
          <w:b/>
          <w:bCs/>
          <w:sz w:val="24"/>
          <w:szCs w:val="24"/>
          <w:lang w:val="en-US" w:eastAsia="zh-CN"/>
        </w:rPr>
        <w:t xml:space="preserve">    (Revision of </w:t>
      </w:r>
      <w:r>
        <w:rPr>
          <w:rFonts w:ascii="Arial" w:hAnsi="Arial" w:cs="Arial"/>
          <w:b/>
          <w:bCs/>
          <w:sz w:val="24"/>
          <w:szCs w:val="24"/>
          <w:lang w:val="en-US" w:eastAsia="en-US"/>
        </w:rPr>
        <w:t>R2-2007145</w:t>
      </w:r>
      <w:r>
        <w:rPr>
          <w:rFonts w:hint="eastAsia" w:ascii="Arial" w:hAnsi="Arial" w:cs="Arial"/>
          <w:b/>
          <w:bCs/>
          <w:sz w:val="24"/>
          <w:szCs w:val="24"/>
          <w:lang w:val="en-US" w:eastAsia="zh-CN"/>
        </w:rPr>
        <w:t>)</w:t>
      </w:r>
    </w:p>
    <w:p>
      <w:pPr>
        <w:tabs>
          <w:tab w:val="left" w:pos="1979"/>
        </w:tabs>
        <w:spacing w:after="0" w:line="240" w:lineRule="atLeast"/>
        <w:jc w:val="left"/>
        <w:rPr>
          <w:rFonts w:ascii="Arial" w:hAnsi="Arial" w:cs="Arial"/>
          <w:b/>
          <w:bCs/>
          <w:sz w:val="24"/>
          <w:szCs w:val="24"/>
          <w:lang w:val="en-US" w:eastAsia="en-US"/>
        </w:rPr>
      </w:pP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vivo</w:t>
      </w:r>
    </w:p>
    <w:p>
      <w:pPr>
        <w:tabs>
          <w:tab w:val="left" w:pos="1979"/>
        </w:tabs>
        <w:spacing w:after="0" w:line="240" w:lineRule="atLeast"/>
        <w:jc w:val="left"/>
        <w:rPr>
          <w:rFonts w:hint="eastAsia" w:ascii="Arial" w:hAnsi="Arial" w:eastAsia="宋体" w:cs="Arial"/>
          <w:b/>
          <w:bCs/>
          <w:sz w:val="24"/>
          <w:szCs w:val="24"/>
          <w:lang w:val="en-US" w:eastAsia="zh-CN"/>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b/>
          <w:bCs/>
          <w:sz w:val="24"/>
          <w:szCs w:val="24"/>
          <w:lang w:val="en-US" w:eastAsia="en-US"/>
        </w:rPr>
        <w:t xml:space="preserve">Discussion on the </w:t>
      </w:r>
      <w:r>
        <w:rPr>
          <w:rFonts w:hint="eastAsia" w:ascii="Arial" w:hAnsi="Arial" w:cs="Arial"/>
          <w:b/>
          <w:bCs/>
          <w:sz w:val="24"/>
          <w:szCs w:val="24"/>
          <w:lang w:val="en-US" w:eastAsia="zh-CN"/>
        </w:rPr>
        <w:t>propagation delay compensation</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eastAsia="en-US"/>
        </w:rPr>
        <w:t>8.5.2</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1" w:name="_Ref165266342"/>
      <w:r>
        <w:t>Introduction</w:t>
      </w:r>
      <w:bookmarkEnd w:id="1"/>
    </w:p>
    <w:p>
      <w:r>
        <w:t xml:space="preserve">According to the IIOT/URLLC WID [1] as quoted below, one major objective </w:t>
      </w:r>
      <w:r>
        <w:rPr>
          <w:rFonts w:hint="eastAsia"/>
          <w:lang w:val="en-US" w:eastAsia="zh-CN"/>
        </w:rPr>
        <w:t>is enhancement for</w:t>
      </w:r>
      <w:r>
        <w:t xml:space="preserve"> support</w:t>
      </w:r>
      <w:r>
        <w:rPr>
          <w:rFonts w:hint="eastAsia"/>
          <w:lang w:val="en-US" w:eastAsia="zh-CN"/>
        </w:rPr>
        <w:t xml:space="preserve"> of</w:t>
      </w:r>
      <w:r>
        <w:t xml:space="preserve"> </w:t>
      </w:r>
      <w:r>
        <w:rPr>
          <w:rFonts w:hint="eastAsia"/>
          <w:lang w:val="en-US" w:eastAsia="zh-CN"/>
        </w:rPr>
        <w:t>uplink</w:t>
      </w:r>
      <w:r>
        <w:t xml:space="preserve"> time synchronization</w:t>
      </w:r>
      <w:r>
        <w:rPr>
          <w:rFonts w:hint="eastAsia"/>
          <w:lang w:val="en-US" w:eastAsia="zh-CN"/>
        </w:rPr>
        <w:t xml:space="preserve"> (e.g. uplink time synchronization for TSN).</w:t>
      </w:r>
      <w:r>
        <w:t xml:space="preserve">  </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numPr>
                <w:ilvl w:val="0"/>
                <w:numId w:val="8"/>
              </w:numPr>
              <w:spacing w:after="0" w:line="240" w:lineRule="auto"/>
              <w:jc w:val="left"/>
              <w:rPr>
                <w:bCs/>
              </w:rPr>
            </w:pPr>
            <w:r>
              <w:rPr>
                <w:bCs/>
              </w:rPr>
              <w:t>Enhancements for support of time synchronization:</w:t>
            </w:r>
          </w:p>
          <w:p>
            <w:pPr>
              <w:numPr>
                <w:ilvl w:val="0"/>
                <w:numId w:val="9"/>
              </w:numPr>
              <w:spacing w:after="0" w:line="240" w:lineRule="auto"/>
              <w:jc w:val="left"/>
              <w:rPr>
                <w:bCs/>
              </w:rPr>
            </w:pPr>
            <w:r>
              <w:rPr>
                <w:lang w:val="en-US"/>
              </w:rPr>
              <w:t>RAN impacts of SA2 work on uplink time synchronization for TSN, if any.</w:t>
            </w:r>
            <w:r>
              <w:rPr>
                <w:bCs/>
              </w:rPr>
              <w:t xml:space="preserve"> [RAN2]</w:t>
            </w:r>
          </w:p>
          <w:p>
            <w:pPr>
              <w:numPr>
                <w:ilvl w:val="0"/>
                <w:numId w:val="9"/>
              </w:numPr>
              <w:spacing w:after="180" w:line="240" w:lineRule="auto"/>
              <w:ind w:left="1434" w:hanging="357"/>
              <w:jc w:val="left"/>
              <w:rPr>
                <w:bCs/>
              </w:rPr>
            </w:pPr>
            <w:r>
              <w:rPr>
                <w:bCs/>
              </w:rPr>
              <w:t>Propagation delay compensation enhancements (including mobility issues, if any). [RAN2, RAN1, RAN3, RAN4]</w:t>
            </w:r>
          </w:p>
        </w:tc>
      </w:tr>
    </w:tbl>
    <w:p>
      <w:pPr>
        <w:rPr>
          <w:rFonts w:hint="eastAsia"/>
          <w:lang w:val="en-US" w:eastAsia="zh-CN"/>
        </w:rPr>
      </w:pPr>
      <w:r>
        <w:rPr>
          <w:rFonts w:hint="eastAsia"/>
          <w:lang w:val="en-US" w:eastAsia="zh-CN"/>
        </w:rPr>
        <w:t>In RAN2#111e meeting, the following email discussion has been agreed, which aims to collect views from companies.</w:t>
      </w:r>
    </w:p>
    <w:p>
      <w:pPr>
        <w:pStyle w:val="101"/>
        <w:numPr>
          <w:ilvl w:val="0"/>
          <w:numId w:val="7"/>
        </w:numPr>
        <w:rPr>
          <w:lang w:val="en-US"/>
        </w:rPr>
      </w:pPr>
      <w:r>
        <w:rPr>
          <w:lang w:val="en-US"/>
        </w:rPr>
        <w:t>[</w:t>
      </w:r>
      <w:r>
        <w:t>Post111-e</w:t>
      </w:r>
      <w:r>
        <w:rPr>
          <w:lang w:val="en-US"/>
        </w:rPr>
        <w:t>][924][R17 URLLC/IIoT] Propagation delay for TSN (Nokia)</w:t>
      </w:r>
    </w:p>
    <w:p>
      <w:pPr>
        <w:pStyle w:val="102"/>
        <w:rPr>
          <w:lang w:val="en-US"/>
        </w:rPr>
      </w:pPr>
      <w:r>
        <w:rPr>
          <w:lang w:val="en-US"/>
        </w:rPr>
        <w:tab/>
      </w:r>
      <w:r>
        <w:rPr>
          <w:lang w:val="en-US"/>
        </w:rPr>
        <w:t>1</w:t>
      </w:r>
      <w:r>
        <w:rPr>
          <w:vertAlign w:val="superscript"/>
          <w:lang w:val="en-US"/>
        </w:rPr>
        <w:t>st</w:t>
      </w:r>
      <w:r>
        <w:rPr>
          <w:lang w:val="en-US"/>
        </w:rPr>
        <w:t xml:space="preserve"> phase: Agree on baseline scenarios and then for each scenario the high-level breakdown on the delay components and agree on assumptions.  Identify the aspects that RAN1 should investigate</w:t>
      </w:r>
    </w:p>
    <w:p>
      <w:pPr>
        <w:pStyle w:val="102"/>
        <w:rPr>
          <w:lang w:val="en-US"/>
        </w:rPr>
      </w:pPr>
      <w:r>
        <w:rPr>
          <w:lang w:val="en-US"/>
        </w:rPr>
        <w:tab/>
      </w:r>
      <w:r>
        <w:rPr>
          <w:lang w:val="en-US"/>
        </w:rPr>
        <w:t>2</w:t>
      </w:r>
      <w:r>
        <w:rPr>
          <w:vertAlign w:val="superscript"/>
          <w:lang w:val="en-US"/>
        </w:rPr>
        <w:t>nd</w:t>
      </w:r>
      <w:r>
        <w:rPr>
          <w:lang w:val="en-US"/>
        </w:rPr>
        <w:t xml:space="preserve"> phase: Identify the set of possible options to continue investigating and how they address each component </w:t>
      </w:r>
    </w:p>
    <w:p>
      <w:pPr>
        <w:pStyle w:val="102"/>
      </w:pPr>
      <w:r>
        <w:tab/>
      </w:r>
      <w:r>
        <w:t>Intended outcome: report to next meeting</w:t>
      </w:r>
    </w:p>
    <w:p>
      <w:pPr>
        <w:pStyle w:val="102"/>
      </w:pPr>
      <w:r>
        <w:tab/>
      </w:r>
      <w:r>
        <w:t>Deadline: Long</w:t>
      </w:r>
    </w:p>
    <w:p>
      <w:pPr>
        <w:pStyle w:val="102"/>
      </w:pPr>
    </w:p>
    <w:p>
      <w:r>
        <w:t>In this contribution, we provide our understanding on the potential enhancements of the TSN network</w:t>
      </w:r>
      <w:r>
        <w:rPr>
          <w:rFonts w:hint="eastAsia"/>
          <w:lang w:val="en-US" w:eastAsia="zh-CN"/>
        </w:rPr>
        <w:t xml:space="preserve"> based on the report of email discussion</w:t>
      </w:r>
      <w:r>
        <w:t>.</w:t>
      </w:r>
    </w:p>
    <w:p>
      <w:pPr>
        <w:pStyle w:val="2"/>
        <w:jc w:val="left"/>
      </w:pPr>
      <w:r>
        <w:rPr>
          <w:rFonts w:hint="eastAsia"/>
        </w:rPr>
        <w:t>Discussion</w:t>
      </w:r>
    </w:p>
    <w:p>
      <w:pPr>
        <w:pStyle w:val="3"/>
        <w:keepLines w:val="0"/>
        <w:tabs>
          <w:tab w:val="left" w:pos="576"/>
        </w:tabs>
        <w:spacing w:line="240" w:lineRule="auto"/>
        <w:ind w:left="0" w:firstLine="0"/>
        <w:jc w:val="left"/>
        <w:rPr>
          <w:rFonts w:hint="eastAsia"/>
          <w:lang w:val="en-US"/>
        </w:rPr>
      </w:pPr>
      <w:r>
        <w:rPr>
          <w:rFonts w:hint="eastAsia"/>
          <w:lang w:val="en-US" w:eastAsia="zh-CN"/>
        </w:rPr>
        <w:t>Information from RAN2 Email discussion</w:t>
      </w:r>
    </w:p>
    <w:p>
      <w:pPr>
        <w:rPr>
          <w:rFonts w:hint="eastAsia"/>
          <w:lang w:val="en-US" w:eastAsia="zh-CN"/>
        </w:rPr>
      </w:pPr>
      <w:r>
        <w:rPr>
          <w:rFonts w:hint="eastAsia"/>
          <w:lang w:val="en-US" w:eastAsia="zh-CN"/>
        </w:rPr>
        <w:t xml:space="preserve">For the scenarios of time synchronization, RAN1 has already agreed two of the following use cases for further study, which is abstracted from </w:t>
      </w:r>
      <w:r>
        <w:rPr>
          <w:lang w:val="en-US"/>
        </w:rPr>
        <w:t xml:space="preserve">TS 22.104 </w:t>
      </w:r>
      <w:r>
        <w:rPr>
          <w:rFonts w:eastAsia="MS Mincho"/>
        </w:rPr>
        <w:t>Table 5.6.2-1</w:t>
      </w:r>
      <w:r>
        <w:rPr>
          <w:rFonts w:hint="eastAsia"/>
          <w:lang w:val="en-US" w:eastAsia="zh-CN"/>
        </w:rPr>
        <w:t>.</w:t>
      </w:r>
    </w:p>
    <w:tbl>
      <w:tblPr>
        <w:tblStyle w:val="26"/>
        <w:tblW w:w="99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0"/>
        <w:gridCol w:w="2121"/>
        <w:gridCol w:w="2031"/>
        <w:gridCol w:w="1930"/>
        <w:gridCol w:w="2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8" w:hRule="atLeast"/>
        </w:trPr>
        <w:tc>
          <w:tcPr>
            <w:tcW w:w="1520" w:type="dxa"/>
            <w:shd w:val="clear" w:color="auto" w:fill="auto"/>
          </w:tcPr>
          <w:p>
            <w:pPr>
              <w:rPr>
                <w:b/>
                <w:sz w:val="21"/>
                <w:szCs w:val="18"/>
              </w:rPr>
            </w:pPr>
            <w:r>
              <w:rPr>
                <w:b/>
                <w:sz w:val="21"/>
                <w:szCs w:val="18"/>
              </w:rPr>
              <w:t xml:space="preserve">User-specific clock synchronicity accuracy level </w:t>
            </w:r>
          </w:p>
        </w:tc>
        <w:tc>
          <w:tcPr>
            <w:tcW w:w="2121" w:type="dxa"/>
            <w:shd w:val="clear" w:color="auto" w:fill="auto"/>
          </w:tcPr>
          <w:p>
            <w:pPr>
              <w:rPr>
                <w:b/>
                <w:sz w:val="21"/>
                <w:szCs w:val="18"/>
              </w:rPr>
            </w:pPr>
            <w:r>
              <w:rPr>
                <w:b/>
                <w:sz w:val="21"/>
                <w:szCs w:val="18"/>
              </w:rPr>
              <w:t>Number of devices in one Communication group for clock synchronisation</w:t>
            </w:r>
          </w:p>
        </w:tc>
        <w:tc>
          <w:tcPr>
            <w:tcW w:w="2031" w:type="dxa"/>
            <w:shd w:val="clear" w:color="auto" w:fill="auto"/>
          </w:tcPr>
          <w:p>
            <w:pPr>
              <w:rPr>
                <w:b/>
                <w:sz w:val="21"/>
                <w:szCs w:val="18"/>
              </w:rPr>
            </w:pPr>
            <w:r>
              <w:rPr>
                <w:b/>
                <w:sz w:val="21"/>
                <w:szCs w:val="18"/>
              </w:rPr>
              <w:t xml:space="preserve">5GS synchronicity budget requirement </w:t>
            </w:r>
          </w:p>
          <w:p>
            <w:pPr>
              <w:rPr>
                <w:b/>
                <w:sz w:val="21"/>
                <w:szCs w:val="18"/>
              </w:rPr>
            </w:pPr>
            <w:r>
              <w:rPr>
                <w:b/>
                <w:sz w:val="21"/>
                <w:szCs w:val="18"/>
              </w:rPr>
              <w:t>(note)</w:t>
            </w:r>
          </w:p>
        </w:tc>
        <w:tc>
          <w:tcPr>
            <w:tcW w:w="1930" w:type="dxa"/>
          </w:tcPr>
          <w:p>
            <w:pPr>
              <w:rPr>
                <w:b/>
                <w:sz w:val="21"/>
                <w:szCs w:val="18"/>
              </w:rPr>
            </w:pPr>
            <w:r>
              <w:rPr>
                <w:b/>
                <w:sz w:val="21"/>
                <w:szCs w:val="18"/>
              </w:rPr>
              <w:t xml:space="preserve">Service area </w:t>
            </w:r>
          </w:p>
        </w:tc>
        <w:tc>
          <w:tcPr>
            <w:tcW w:w="2338" w:type="dxa"/>
            <w:shd w:val="clear" w:color="auto" w:fill="auto"/>
          </w:tcPr>
          <w:p>
            <w:pPr>
              <w:rPr>
                <w:b/>
                <w:sz w:val="21"/>
                <w:szCs w:val="18"/>
              </w:rPr>
            </w:pPr>
            <w:r>
              <w:rPr>
                <w:b/>
                <w:sz w:val="21"/>
                <w:szCs w:val="18"/>
              </w:rPr>
              <w:t>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5" w:hRule="atLeast"/>
        </w:trPr>
        <w:tc>
          <w:tcPr>
            <w:tcW w:w="1520" w:type="dxa"/>
            <w:shd w:val="clear" w:color="auto" w:fill="auto"/>
          </w:tcPr>
          <w:p>
            <w:pPr>
              <w:rPr>
                <w:sz w:val="21"/>
                <w:szCs w:val="18"/>
                <w:highlight w:val="none"/>
              </w:rPr>
            </w:pPr>
            <w:r>
              <w:rPr>
                <w:sz w:val="21"/>
                <w:szCs w:val="18"/>
                <w:highlight w:val="none"/>
              </w:rPr>
              <w:t>2</w:t>
            </w:r>
          </w:p>
        </w:tc>
        <w:tc>
          <w:tcPr>
            <w:tcW w:w="2121" w:type="dxa"/>
            <w:shd w:val="clear" w:color="auto" w:fill="auto"/>
          </w:tcPr>
          <w:p>
            <w:pPr>
              <w:rPr>
                <w:sz w:val="21"/>
                <w:szCs w:val="18"/>
                <w:highlight w:val="none"/>
              </w:rPr>
            </w:pPr>
            <w:r>
              <w:rPr>
                <w:sz w:val="21"/>
                <w:szCs w:val="18"/>
                <w:highlight w:val="none"/>
              </w:rPr>
              <w:t>Up to 300 UEs</w:t>
            </w:r>
          </w:p>
        </w:tc>
        <w:tc>
          <w:tcPr>
            <w:tcW w:w="2031" w:type="dxa"/>
            <w:shd w:val="clear" w:color="auto" w:fill="auto"/>
          </w:tcPr>
          <w:p>
            <w:pPr>
              <w:rPr>
                <w:sz w:val="21"/>
                <w:szCs w:val="18"/>
                <w:highlight w:val="none"/>
              </w:rPr>
            </w:pPr>
            <w:r>
              <w:rPr>
                <w:rFonts w:hint="eastAsia"/>
                <w:sz w:val="21"/>
                <w:szCs w:val="18"/>
                <w:highlight w:val="none"/>
              </w:rPr>
              <w:t>≤</w:t>
            </w:r>
            <w:r>
              <w:rPr>
                <w:sz w:val="21"/>
                <w:szCs w:val="18"/>
                <w:highlight w:val="none"/>
              </w:rPr>
              <w:t xml:space="preserve">900 ns </w:t>
            </w:r>
            <w:r>
              <w:rPr>
                <w:sz w:val="21"/>
                <w:szCs w:val="18"/>
                <w:highlight w:val="none"/>
              </w:rPr>
              <w:tab/>
            </w:r>
          </w:p>
        </w:tc>
        <w:tc>
          <w:tcPr>
            <w:tcW w:w="1930" w:type="dxa"/>
          </w:tcPr>
          <w:p>
            <w:pPr>
              <w:rPr>
                <w:sz w:val="21"/>
                <w:szCs w:val="18"/>
                <w:highlight w:val="none"/>
              </w:rPr>
            </w:pPr>
            <w:r>
              <w:rPr>
                <w:rFonts w:hint="eastAsia"/>
                <w:sz w:val="21"/>
                <w:szCs w:val="18"/>
                <w:highlight w:val="none"/>
              </w:rPr>
              <w:t>≤</w:t>
            </w:r>
            <w:r>
              <w:rPr>
                <w:sz w:val="21"/>
                <w:szCs w:val="18"/>
                <w:highlight w:val="none"/>
              </w:rPr>
              <w:t xml:space="preserve"> 1000 m x 100 m</w:t>
            </w:r>
          </w:p>
        </w:tc>
        <w:tc>
          <w:tcPr>
            <w:tcW w:w="2338" w:type="dxa"/>
            <w:shd w:val="clear" w:color="auto" w:fill="auto"/>
          </w:tcPr>
          <w:p>
            <w:pPr>
              <w:numPr>
                <w:ilvl w:val="0"/>
                <w:numId w:val="10"/>
              </w:numPr>
              <w:rPr>
                <w:sz w:val="21"/>
                <w:szCs w:val="18"/>
                <w:highlight w:val="none"/>
              </w:rPr>
            </w:pPr>
            <w:r>
              <w:rPr>
                <w:sz w:val="21"/>
                <w:szCs w:val="18"/>
                <w:highlight w:val="none"/>
              </w:rPr>
              <w:t>Control-to-control communication for industrial controller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5" w:hRule="atLeast"/>
        </w:trPr>
        <w:tc>
          <w:tcPr>
            <w:tcW w:w="1520" w:type="dxa"/>
            <w:shd w:val="clear" w:color="auto" w:fill="auto"/>
          </w:tcPr>
          <w:p>
            <w:pPr>
              <w:rPr>
                <w:sz w:val="21"/>
                <w:szCs w:val="18"/>
                <w:highlight w:val="none"/>
              </w:rPr>
            </w:pPr>
            <w:r>
              <w:rPr>
                <w:sz w:val="21"/>
                <w:szCs w:val="18"/>
                <w:highlight w:val="none"/>
              </w:rPr>
              <w:t>4</w:t>
            </w:r>
          </w:p>
        </w:tc>
        <w:tc>
          <w:tcPr>
            <w:tcW w:w="2121" w:type="dxa"/>
            <w:shd w:val="clear" w:color="auto" w:fill="auto"/>
          </w:tcPr>
          <w:p>
            <w:pPr>
              <w:rPr>
                <w:sz w:val="21"/>
                <w:szCs w:val="18"/>
                <w:highlight w:val="none"/>
              </w:rPr>
            </w:pPr>
            <w:r>
              <w:rPr>
                <w:sz w:val="21"/>
                <w:szCs w:val="18"/>
                <w:highlight w:val="none"/>
              </w:rPr>
              <w:t>Up to 100 UEs</w:t>
            </w:r>
          </w:p>
        </w:tc>
        <w:tc>
          <w:tcPr>
            <w:tcW w:w="2031" w:type="dxa"/>
            <w:shd w:val="clear" w:color="auto" w:fill="auto"/>
          </w:tcPr>
          <w:p>
            <w:pPr>
              <w:rPr>
                <w:sz w:val="21"/>
                <w:szCs w:val="18"/>
                <w:highlight w:val="none"/>
              </w:rPr>
            </w:pPr>
            <w:r>
              <w:rPr>
                <w:sz w:val="21"/>
                <w:szCs w:val="18"/>
                <w:highlight w:val="none"/>
              </w:rPr>
              <w:t>&lt;1  µs</w:t>
            </w:r>
          </w:p>
        </w:tc>
        <w:tc>
          <w:tcPr>
            <w:tcW w:w="1930" w:type="dxa"/>
          </w:tcPr>
          <w:p>
            <w:pPr>
              <w:rPr>
                <w:sz w:val="21"/>
                <w:szCs w:val="18"/>
                <w:highlight w:val="none"/>
              </w:rPr>
            </w:pPr>
            <w:r>
              <w:rPr>
                <w:sz w:val="21"/>
                <w:szCs w:val="18"/>
                <w:highlight w:val="none"/>
              </w:rPr>
              <w:t>&lt; 20 km</w:t>
            </w:r>
            <w:r>
              <w:rPr>
                <w:sz w:val="21"/>
                <w:szCs w:val="18"/>
                <w:highlight w:val="none"/>
                <w:vertAlign w:val="superscript"/>
              </w:rPr>
              <w:t>2</w:t>
            </w:r>
          </w:p>
        </w:tc>
        <w:tc>
          <w:tcPr>
            <w:tcW w:w="2338" w:type="dxa"/>
            <w:shd w:val="clear" w:color="auto" w:fill="auto"/>
          </w:tcPr>
          <w:p>
            <w:pPr>
              <w:numPr>
                <w:ilvl w:val="0"/>
                <w:numId w:val="10"/>
              </w:numPr>
              <w:rPr>
                <w:sz w:val="21"/>
                <w:szCs w:val="18"/>
                <w:highlight w:val="none"/>
              </w:rPr>
            </w:pPr>
            <w:r>
              <w:rPr>
                <w:sz w:val="21"/>
                <w:szCs w:val="18"/>
                <w:highlight w:val="none"/>
              </w:rPr>
              <w:t>Smart Grid: synchronicity between PMUs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3" w:hRule="atLeast"/>
        </w:trPr>
        <w:tc>
          <w:tcPr>
            <w:tcW w:w="9940" w:type="dxa"/>
            <w:gridSpan w:val="5"/>
            <w:shd w:val="clear" w:color="auto" w:fill="auto"/>
          </w:tcPr>
          <w:p>
            <w:r>
              <w:t>NOTE:</w:t>
            </w:r>
            <w:r>
              <w:tab/>
            </w:r>
            <w:r>
              <w:t>The clock synchronicity requirement refers to the clock synchronicity budget for the 5G system, as described in Clause 5.6.1.</w:t>
            </w:r>
          </w:p>
        </w:tc>
      </w:tr>
    </w:tbl>
    <w:p>
      <w:pPr>
        <w:rPr>
          <w:rFonts w:hint="eastAsia"/>
          <w:b w:val="0"/>
          <w:bCs w:val="0"/>
          <w:lang w:val="en-US" w:eastAsia="zh-CN"/>
        </w:rPr>
      </w:pPr>
      <w:r>
        <w:rPr>
          <w:b w:val="0"/>
          <w:bCs w:val="0"/>
        </w:rPr>
        <w:t>Based on the two use cases</w:t>
      </w:r>
      <w:r>
        <w:rPr>
          <w:rFonts w:hint="eastAsia"/>
          <w:b w:val="0"/>
          <w:bCs w:val="0"/>
          <w:lang w:val="en-US" w:eastAsia="zh-CN"/>
        </w:rPr>
        <w:t xml:space="preserve"> identified by RAN1</w:t>
      </w:r>
      <w:r>
        <w:rPr>
          <w:b w:val="0"/>
          <w:bCs w:val="0"/>
        </w:rPr>
        <w:t xml:space="preserve">, </w:t>
      </w:r>
      <w:r>
        <w:rPr>
          <w:rFonts w:hint="eastAsia"/>
          <w:b w:val="0"/>
          <w:bCs w:val="0"/>
          <w:lang w:val="en-US" w:eastAsia="zh-CN"/>
        </w:rPr>
        <w:t>the</w:t>
      </w:r>
      <w:r>
        <w:rPr>
          <w:b w:val="0"/>
          <w:bCs w:val="0"/>
        </w:rPr>
        <w:t xml:space="preserve"> following</w:t>
      </w:r>
      <w:r>
        <w:rPr>
          <w:rFonts w:hint="eastAsia"/>
          <w:b w:val="0"/>
          <w:bCs w:val="0"/>
          <w:lang w:val="en-US" w:eastAsia="zh-CN"/>
        </w:rPr>
        <w:t xml:space="preserve"> time synchronization</w:t>
      </w:r>
      <w:r>
        <w:rPr>
          <w:b w:val="0"/>
          <w:bCs w:val="0"/>
        </w:rPr>
        <w:t xml:space="preserve"> scenarios </w:t>
      </w:r>
      <w:r>
        <w:rPr>
          <w:rFonts w:hint="eastAsia"/>
          <w:b w:val="0"/>
          <w:bCs w:val="0"/>
          <w:lang w:val="en-US" w:eastAsia="zh-CN"/>
        </w:rPr>
        <w:t>has been identified by RAN2 as shown in the Fig.1 and Fig.2.</w:t>
      </w:r>
    </w:p>
    <w:p>
      <w:pPr>
        <w:rPr>
          <w:rFonts w:hint="eastAsia" w:ascii="Times New Roman" w:hAnsi="Times New Roman" w:eastAsia="宋体" w:cs="Times New Roman"/>
          <w:b w:val="0"/>
          <w:bCs w:val="0"/>
          <w:sz w:val="20"/>
          <w:szCs w:val="20"/>
          <w:lang w:val="en-US" w:eastAsia="zh-CN"/>
        </w:rPr>
      </w:pPr>
      <w:r>
        <w:rPr>
          <w:rFonts w:hint="eastAsia"/>
          <w:b/>
          <w:bCs/>
          <w:lang w:val="en-US" w:eastAsia="zh-CN"/>
        </w:rPr>
        <w:t>Scenario 1</w:t>
      </w:r>
      <w:r>
        <w:rPr>
          <w:rFonts w:hint="eastAsia"/>
          <w:b w:val="0"/>
          <w:bCs w:val="0"/>
          <w:lang w:val="en-US" w:eastAsia="zh-CN"/>
        </w:rPr>
        <w:t>:</w:t>
      </w:r>
      <w:r>
        <w:rPr>
          <w:rFonts w:ascii="Times New Roman" w:hAnsi="Times New Roman" w:eastAsia="Batang" w:cs="Times New Roman"/>
          <w:b w:val="0"/>
          <w:bCs w:val="0"/>
          <w:sz w:val="20"/>
          <w:szCs w:val="20"/>
          <w:lang w:val="en-GB"/>
        </w:rPr>
        <w:t xml:space="preserve">TSC devices behind a target UE are synchronized to </w:t>
      </w:r>
      <w:r>
        <w:rPr>
          <w:rFonts w:hint="eastAsia" w:cs="Times New Roman"/>
          <w:b w:val="0"/>
          <w:bCs w:val="0"/>
          <w:sz w:val="20"/>
          <w:szCs w:val="20"/>
          <w:lang w:val="en-US" w:eastAsia="zh-CN"/>
        </w:rPr>
        <w:t xml:space="preserve">any TD from </w:t>
      </w:r>
      <w:r>
        <w:rPr>
          <w:rFonts w:ascii="Times New Roman" w:hAnsi="Times New Roman" w:eastAsia="Batang" w:cs="Times New Roman"/>
          <w:b w:val="0"/>
          <w:bCs w:val="0"/>
          <w:sz w:val="20"/>
          <w:szCs w:val="20"/>
          <w:lang w:val="en-GB"/>
        </w:rPr>
        <w:t>a GM behind the CN</w:t>
      </w:r>
      <w:r>
        <w:rPr>
          <w:rFonts w:hint="eastAsia" w:cs="Times New Roman"/>
          <w:b w:val="0"/>
          <w:bCs w:val="0"/>
          <w:sz w:val="20"/>
          <w:szCs w:val="20"/>
          <w:lang w:val="en-US" w:eastAsia="zh-CN"/>
        </w:rPr>
        <w:t>;</w:t>
      </w:r>
    </w:p>
    <w:p>
      <w:pPr>
        <w:rPr>
          <w:rFonts w:hint="eastAsia" w:eastAsia="宋体"/>
          <w:b w:val="0"/>
          <w:bCs w:val="0"/>
          <w:lang w:val="en-US" w:eastAsia="zh-CN"/>
        </w:rPr>
      </w:pPr>
      <w:r>
        <w:rPr>
          <w:rFonts w:hint="eastAsia"/>
          <w:b/>
          <w:bCs/>
          <w:lang w:val="en-US" w:eastAsia="zh-CN"/>
        </w:rPr>
        <w:t>Scenario 2</w:t>
      </w:r>
      <w:r>
        <w:rPr>
          <w:rFonts w:hint="eastAsia"/>
          <w:b w:val="0"/>
          <w:bCs w:val="0"/>
          <w:lang w:val="en-US" w:eastAsia="zh-CN"/>
        </w:rPr>
        <w:t>:</w:t>
      </w:r>
      <w:r>
        <w:rPr>
          <w:rFonts w:ascii="Times New Roman" w:hAnsi="Times New Roman" w:eastAsia="Batang" w:cs="Times New Roman"/>
          <w:b w:val="0"/>
          <w:bCs w:val="0"/>
          <w:sz w:val="20"/>
          <w:szCs w:val="20"/>
          <w:lang w:val="en-GB"/>
        </w:rPr>
        <w:t xml:space="preserve">TSC devices behind a target UE are synchronized to </w:t>
      </w:r>
      <w:r>
        <w:rPr>
          <w:rFonts w:hint="eastAsia" w:cs="Times New Roman"/>
          <w:b w:val="0"/>
          <w:bCs w:val="0"/>
          <w:sz w:val="20"/>
          <w:szCs w:val="20"/>
          <w:lang w:val="en-US" w:eastAsia="zh-CN"/>
        </w:rPr>
        <w:t xml:space="preserve">any TD from </w:t>
      </w:r>
      <w:r>
        <w:rPr>
          <w:rFonts w:ascii="Times New Roman" w:hAnsi="Times New Roman" w:eastAsia="Batang" w:cs="Times New Roman"/>
          <w:b w:val="0"/>
          <w:bCs w:val="0"/>
          <w:sz w:val="20"/>
          <w:szCs w:val="20"/>
          <w:lang w:val="en-GB"/>
        </w:rPr>
        <w:t>a GM behind the UE</w:t>
      </w:r>
      <w:r>
        <w:rPr>
          <w:rFonts w:hint="eastAsia" w:cs="Times New Roman"/>
          <w:b w:val="0"/>
          <w:bCs w:val="0"/>
          <w:sz w:val="20"/>
          <w:szCs w:val="20"/>
          <w:lang w:val="en-US" w:eastAsia="zh-CN"/>
        </w:rPr>
        <w:t>;</w:t>
      </w:r>
    </w:p>
    <w:p>
      <w:pPr>
        <w:rPr>
          <w:rFonts w:hint="eastAsia" w:eastAsia="宋体"/>
          <w:b w:val="0"/>
          <w:bCs w:val="0"/>
          <w:lang w:val="en-US" w:eastAsia="zh-CN"/>
        </w:rPr>
      </w:pPr>
      <w:r>
        <w:rPr>
          <w:rFonts w:hint="eastAsia"/>
          <w:b/>
          <w:bCs/>
          <w:lang w:val="en-US" w:eastAsia="zh-CN"/>
        </w:rPr>
        <w:t>Scenario 3</w:t>
      </w:r>
      <w:r>
        <w:rPr>
          <w:rFonts w:hint="eastAsia"/>
          <w:b w:val="0"/>
          <w:bCs w:val="0"/>
          <w:lang w:val="en-US" w:eastAsia="zh-CN"/>
        </w:rPr>
        <w:t xml:space="preserve">: </w:t>
      </w:r>
      <w:r>
        <w:rPr>
          <w:rFonts w:ascii="Times New Roman" w:hAnsi="Times New Roman" w:eastAsia="Batang" w:cs="Times New Roman"/>
          <w:b w:val="0"/>
          <w:bCs w:val="0"/>
          <w:sz w:val="20"/>
          <w:szCs w:val="20"/>
          <w:lang w:val="en-GB"/>
        </w:rPr>
        <w:t>TSC devices behind a target UE are synchronized to the 5G GM</w:t>
      </w:r>
      <w:r>
        <w:rPr>
          <w:rFonts w:hint="eastAsia" w:cs="Times New Roman"/>
          <w:b w:val="0"/>
          <w:bCs w:val="0"/>
          <w:sz w:val="20"/>
          <w:szCs w:val="20"/>
          <w:lang w:val="en-US" w:eastAsia="zh-CN"/>
        </w:rPr>
        <w:t>;</w:t>
      </w:r>
    </w:p>
    <w:p>
      <w:pPr>
        <w:rPr>
          <w:rFonts w:hint="eastAsia"/>
          <w:szCs w:val="22"/>
          <w:lang w:val="en-US" w:eastAsia="zh-CN"/>
        </w:rPr>
      </w:pPr>
      <w:r>
        <w:rPr>
          <w:rFonts w:hint="eastAsia"/>
          <w:szCs w:val="22"/>
          <w:lang w:val="en-US" w:eastAsia="zh-CN"/>
        </w:rPr>
        <w:t xml:space="preserve">During the email discussion, all companies think </w:t>
      </w:r>
      <w:r>
        <w:rPr>
          <w:rFonts w:hint="eastAsia"/>
          <w:b/>
          <w:bCs/>
          <w:szCs w:val="22"/>
          <w:lang w:val="en-US" w:eastAsia="zh-CN"/>
        </w:rPr>
        <w:t>both Scenario 2 and Scenario 3 should be considered</w:t>
      </w:r>
      <w:r>
        <w:rPr>
          <w:rFonts w:hint="eastAsia"/>
          <w:szCs w:val="22"/>
          <w:lang w:val="en-US" w:eastAsia="zh-CN"/>
        </w:rPr>
        <w:t xml:space="preserve"> in the evaluation of enhancements for propagation delay compensation. Thus, we will focus on the scenario 2 and scenario 3 and provide our analysis.</w:t>
      </w:r>
    </w:p>
    <w:p>
      <w:pPr>
        <w:keepNext/>
        <w:jc w:val="center"/>
      </w:pPr>
      <w:r>
        <w:rPr>
          <w:b/>
          <w:bCs/>
          <w:lang w:val="en-US" w:eastAsia="ja-JP"/>
        </w:rPr>
        <w:drawing>
          <wp:inline distT="0" distB="0" distL="0" distR="0">
            <wp:extent cx="3603625" cy="1971040"/>
            <wp:effectExtent l="0" t="0" r="15875" b="10160"/>
            <wp:docPr id="7" name="Picture 7"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 up of a map&#10;&#10;Description automatically generated"/>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3622901" cy="1981490"/>
                    </a:xfrm>
                    <a:prstGeom prst="rect">
                      <a:avLst/>
                    </a:prstGeom>
                  </pic:spPr>
                </pic:pic>
              </a:graphicData>
            </a:graphic>
          </wp:inline>
        </w:drawing>
      </w:r>
    </w:p>
    <w:p>
      <w:pPr>
        <w:pStyle w:val="14"/>
        <w:jc w:val="center"/>
      </w:pPr>
      <w:bookmarkStart w:id="2" w:name="_Ref50644003"/>
      <w:r>
        <w:t>Fig</w:t>
      </w:r>
      <w:r>
        <w:rPr>
          <w:rFonts w:hint="eastAsia"/>
          <w:lang w:val="en-US" w:eastAsia="zh-CN"/>
        </w:rPr>
        <w:t>.</w:t>
      </w:r>
      <w:r>
        <w:t xml:space="preserve"> </w:t>
      </w:r>
      <w:r>
        <w:fldChar w:fldCharType="begin"/>
      </w:r>
      <w:r>
        <w:instrText xml:space="preserve"> SEQ Figure \* ARABIC </w:instrText>
      </w:r>
      <w:r>
        <w:fldChar w:fldCharType="separate"/>
      </w:r>
      <w:r>
        <w:t>1</w:t>
      </w:r>
      <w:r>
        <w:fldChar w:fldCharType="end"/>
      </w:r>
      <w:bookmarkEnd w:id="2"/>
      <w:r>
        <w:t>. Illustration of the control-to-control use case with two possible scenarios (Scenario 1 and 2).</w:t>
      </w:r>
    </w:p>
    <w:p>
      <w:pPr>
        <w:keepNext/>
        <w:jc w:val="center"/>
      </w:pPr>
      <w:r>
        <w:rPr>
          <w:b/>
          <w:bCs/>
          <w:lang w:val="en-US" w:eastAsia="ja-JP"/>
        </w:rPr>
        <w:drawing>
          <wp:inline distT="0" distB="0" distL="0" distR="0">
            <wp:extent cx="2992120" cy="2145665"/>
            <wp:effectExtent l="0" t="0" r="17780" b="6985"/>
            <wp:docPr id="8" name="Picture 8"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close up of a map&#10;&#10;Description automatically generated"/>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3040323" cy="2180490"/>
                    </a:xfrm>
                    <a:prstGeom prst="rect">
                      <a:avLst/>
                    </a:prstGeom>
                  </pic:spPr>
                </pic:pic>
              </a:graphicData>
            </a:graphic>
          </wp:inline>
        </w:drawing>
      </w:r>
    </w:p>
    <w:p>
      <w:pPr>
        <w:pStyle w:val="14"/>
        <w:jc w:val="center"/>
      </w:pPr>
      <w:bookmarkStart w:id="3" w:name="_Ref50643966"/>
      <w:r>
        <w:t>Fig</w:t>
      </w:r>
      <w:r>
        <w:rPr>
          <w:rFonts w:hint="eastAsia"/>
          <w:lang w:val="en-US" w:eastAsia="zh-CN"/>
        </w:rPr>
        <w:t>.</w:t>
      </w:r>
      <w:r>
        <w:t xml:space="preserve"> </w:t>
      </w:r>
      <w:r>
        <w:fldChar w:fldCharType="begin"/>
      </w:r>
      <w:r>
        <w:instrText xml:space="preserve"> SEQ Figure \* ARABIC </w:instrText>
      </w:r>
      <w:r>
        <w:fldChar w:fldCharType="separate"/>
      </w:r>
      <w:r>
        <w:t>2</w:t>
      </w:r>
      <w:r>
        <w:fldChar w:fldCharType="end"/>
      </w:r>
      <w:bookmarkEnd w:id="3"/>
      <w:r>
        <w:t>. Illustration of the smart grid use case and a corresponding scenario (Scenario 3).</w:t>
      </w:r>
    </w:p>
    <w:p>
      <w:pPr>
        <w:rPr>
          <w:rFonts w:hint="eastAsia" w:eastAsia="宋体"/>
          <w:szCs w:val="22"/>
          <w:lang w:val="en-US" w:eastAsia="zh-CN"/>
        </w:rPr>
      </w:pPr>
      <w:r>
        <w:rPr>
          <w:rFonts w:hint="eastAsia"/>
          <w:szCs w:val="22"/>
          <w:lang w:val="en-US" w:eastAsia="zh-CN"/>
        </w:rPr>
        <w:t xml:space="preserve">In addition, all companies agree that </w:t>
      </w:r>
      <w:r>
        <w:rPr>
          <w:rFonts w:hint="eastAsia"/>
          <w:b/>
          <w:bCs/>
          <w:szCs w:val="22"/>
          <w:lang w:val="en-US"/>
        </w:rPr>
        <w:t>5GS E2E synchronization budget could be split into three parts namely Device, Uu interface and Network</w:t>
      </w:r>
      <w:r>
        <w:rPr>
          <w:rFonts w:hint="eastAsia"/>
          <w:b w:val="0"/>
          <w:bCs w:val="0"/>
          <w:szCs w:val="22"/>
          <w:lang w:val="en-US" w:eastAsia="zh-CN"/>
        </w:rPr>
        <w:t xml:space="preserve"> as shown in the following figure. Next, will give our inaccuracy analysis based on this kind of synchronization error split.</w:t>
      </w:r>
    </w:p>
    <w:p>
      <w:pPr>
        <w:keepNext/>
        <w:jc w:val="center"/>
      </w:pPr>
      <w:r>
        <w:rPr>
          <w:lang w:val="en-US" w:eastAsia="ja-JP"/>
        </w:rPr>
        <w:drawing>
          <wp:inline distT="0" distB="0" distL="0" distR="0">
            <wp:extent cx="4946015" cy="2012315"/>
            <wp:effectExtent l="0" t="0" r="6985" b="6985"/>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ell phone&#10;&#10;Description automatically generated"/>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4956408" cy="2016803"/>
                    </a:xfrm>
                    <a:prstGeom prst="rect">
                      <a:avLst/>
                    </a:prstGeom>
                  </pic:spPr>
                </pic:pic>
              </a:graphicData>
            </a:graphic>
          </wp:inline>
        </w:drawing>
      </w:r>
    </w:p>
    <w:p>
      <w:pPr>
        <w:pStyle w:val="14"/>
        <w:jc w:val="center"/>
      </w:pPr>
      <w:bookmarkStart w:id="4" w:name="_Ref50466339"/>
      <w:r>
        <w:t xml:space="preserve">Figure </w:t>
      </w:r>
      <w:r>
        <w:fldChar w:fldCharType="begin"/>
      </w:r>
      <w:r>
        <w:instrText xml:space="preserve"> SEQ Figure \* ARABIC </w:instrText>
      </w:r>
      <w:r>
        <w:fldChar w:fldCharType="separate"/>
      </w:r>
      <w:r>
        <w:t>3</w:t>
      </w:r>
      <w:r>
        <w:fldChar w:fldCharType="end"/>
      </w:r>
      <w:bookmarkEnd w:id="4"/>
      <w:r>
        <w:t>. Possible breakdown of the 5GS E2E path</w:t>
      </w:r>
    </w:p>
    <w:p>
      <w:pPr>
        <w:pStyle w:val="3"/>
        <w:keepLines w:val="0"/>
        <w:tabs>
          <w:tab w:val="left" w:pos="576"/>
        </w:tabs>
        <w:spacing w:line="240" w:lineRule="auto"/>
        <w:ind w:left="0" w:firstLine="0"/>
        <w:jc w:val="left"/>
        <w:rPr>
          <w:b w:val="0"/>
          <w:bCs w:val="0"/>
        </w:rPr>
      </w:pPr>
      <w:r>
        <w:rPr>
          <w:b w:val="0"/>
          <w:bCs w:val="0"/>
        </w:rPr>
        <w:t>Inaccuracy analysis</w:t>
      </w:r>
    </w:p>
    <w:p>
      <w:r>
        <w:t>The following inaccuracy analysis is calculated after removing the propagation delay by using N</w:t>
      </w:r>
      <w:r>
        <w:rPr>
          <w:vertAlign w:val="subscript"/>
        </w:rPr>
        <w:t>TA</w:t>
      </w:r>
      <w:r>
        <w:t>/2. The whole procedure of reference time provisioning in the UE includes two separate procedures:</w:t>
      </w:r>
    </w:p>
    <w:p>
      <w:pPr>
        <w:pStyle w:val="71"/>
        <w:numPr>
          <w:ilvl w:val="0"/>
          <w:numId w:val="11"/>
        </w:numPr>
        <w:ind w:firstLineChars="0"/>
        <w:rPr>
          <w:rFonts w:ascii="Times New Roman" w:hAnsi="Times New Roman" w:eastAsia="宋体" w:cs="Times New Roman"/>
          <w:sz w:val="22"/>
          <w:szCs w:val="22"/>
          <w:lang w:val="en-GB" w:eastAsia="zh-CN" w:bidi="ar-SA"/>
        </w:rPr>
      </w:pPr>
      <w:r>
        <w:rPr>
          <w:rFonts w:ascii="Times New Roman" w:hAnsi="Times New Roman" w:eastAsia="宋体" w:cs="Times New Roman"/>
          <w:sz w:val="22"/>
          <w:szCs w:val="22"/>
          <w:lang w:val="en-GB" w:eastAsia="zh-CN" w:bidi="ar-SA"/>
        </w:rPr>
        <w:t>Procedure 1: The gNB provides the referenceTime (which is pointed to a specific SFN) to the UE via SIB/DLInfomationTransfer.</w:t>
      </w:r>
    </w:p>
    <w:p>
      <w:pPr>
        <w:pStyle w:val="71"/>
        <w:numPr>
          <w:ilvl w:val="0"/>
          <w:numId w:val="11"/>
        </w:numPr>
        <w:ind w:firstLineChars="0"/>
        <w:rPr>
          <w:rFonts w:ascii="Times New Roman" w:hAnsi="Times New Roman" w:eastAsia="宋体" w:cs="Times New Roman"/>
          <w:sz w:val="22"/>
          <w:szCs w:val="22"/>
          <w:lang w:val="en-GB" w:eastAsia="zh-CN" w:bidi="ar-SA"/>
        </w:rPr>
      </w:pPr>
      <w:r>
        <w:rPr>
          <w:rFonts w:ascii="Times New Roman" w:hAnsi="Times New Roman" w:eastAsia="宋体" w:cs="Times New Roman"/>
          <w:sz w:val="22"/>
          <w:szCs w:val="22"/>
          <w:lang w:val="en-GB" w:eastAsia="zh-CN" w:bidi="ar-SA"/>
        </w:rPr>
        <w:t>Procedure 2: The UE after receiving the network indication of requiring the propagation compensation triggers RACH to obtain an NTA closest to the provided referenceTime.</w:t>
      </w:r>
    </w:p>
    <w:p>
      <w:pPr>
        <w:rPr>
          <w:lang w:eastAsia="ko-KR"/>
        </w:rPr>
      </w:pPr>
      <w:r>
        <w:rPr>
          <w:lang w:eastAsia="ko-KR"/>
        </w:rPr>
        <w:t xml:space="preserve">The structure and error components of the following table </w:t>
      </w:r>
      <w:r>
        <w:rPr>
          <w:rFonts w:hint="eastAsia"/>
          <w:lang w:val="en-US" w:eastAsia="zh-CN"/>
        </w:rPr>
        <w:t xml:space="preserve">in chapter 2.2.1 and 2.2.2 </w:t>
      </w:r>
      <w:r>
        <w:rPr>
          <w:lang w:eastAsia="ko-KR"/>
        </w:rPr>
        <w:t>are based on [2][3][4].</w:t>
      </w:r>
    </w:p>
    <w:p>
      <w:pPr>
        <w:keepNext/>
        <w:jc w:val="center"/>
      </w:pPr>
      <w:r>
        <w:object>
          <v:shape id="_x0000_i1025" o:spt="75" type="#_x0000_t75" style="height:384pt;width:351.7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14"/>
        <w:jc w:val="center"/>
      </w:pPr>
      <w:r>
        <w:t xml:space="preserve">Figure </w:t>
      </w:r>
      <w:r>
        <w:rPr>
          <w:rFonts w:hint="eastAsia"/>
          <w:lang w:val="en-US" w:eastAsia="zh-CN"/>
        </w:rPr>
        <w:t>4</w:t>
      </w:r>
      <w:r>
        <w:t>: Procedure of reference time provisioning and propagation delay compensation</w:t>
      </w:r>
    </w:p>
    <w:p>
      <w:pPr>
        <w:pStyle w:val="4"/>
        <w:rPr>
          <w:sz w:val="24"/>
          <w:szCs w:val="24"/>
        </w:rPr>
      </w:pPr>
      <w:r>
        <w:rPr>
          <w:rFonts w:hint="eastAsia"/>
          <w:sz w:val="24"/>
          <w:szCs w:val="24"/>
          <w:lang w:val="en-US" w:eastAsia="zh-CN"/>
        </w:rPr>
        <w:t>Smart grid (scenario 3)</w:t>
      </w:r>
    </w:p>
    <w:p>
      <w:pPr>
        <w:overflowPunct w:val="0"/>
        <w:autoSpaceDE w:val="0"/>
        <w:autoSpaceDN w:val="0"/>
        <w:adjustRightInd w:val="0"/>
        <w:spacing w:after="0" w:line="240" w:lineRule="auto"/>
        <w:contextualSpacing/>
        <w:jc w:val="both"/>
        <w:textAlignment w:val="baseline"/>
        <w:rPr>
          <w:rFonts w:eastAsia="宋体"/>
          <w:color w:val="171717"/>
        </w:rPr>
      </w:pPr>
      <w:r>
        <w:rPr>
          <w:rFonts w:hint="eastAsia"/>
          <w:lang w:val="en-US" w:eastAsia="zh-CN"/>
        </w:rPr>
        <w:t>For scenario 3, inaccuracy for Network part is caused by the synchronization error between gNB and 5G GW. During the email discussion, the majority of companies agree that the error budget of NW part is modeled as</w:t>
      </w:r>
      <w:r>
        <w:rPr>
          <w:rFonts w:eastAsia="宋体"/>
          <w:color w:val="171717"/>
        </w:rPr>
        <w:t xml:space="preserve"> ±100ns.</w:t>
      </w:r>
    </w:p>
    <w:p>
      <w:pPr>
        <w:overflowPunct w:val="0"/>
        <w:autoSpaceDE w:val="0"/>
        <w:autoSpaceDN w:val="0"/>
        <w:adjustRightInd w:val="0"/>
        <w:spacing w:after="0" w:line="240" w:lineRule="auto"/>
        <w:contextualSpacing/>
        <w:jc w:val="both"/>
        <w:textAlignment w:val="baseline"/>
        <w:rPr>
          <w:rFonts w:hint="eastAsia"/>
          <w:lang w:val="en-US" w:eastAsia="zh-CN"/>
        </w:rPr>
      </w:pPr>
      <w:r>
        <w:rPr>
          <w:rFonts w:hint="eastAsia"/>
          <w:color w:val="171717"/>
          <w:lang w:val="en-US" w:eastAsia="zh-CN"/>
        </w:rPr>
        <w:t xml:space="preserve">According to the description of TS 23.501, </w:t>
      </w:r>
      <w:r>
        <w:rPr>
          <w:rFonts w:hint="eastAsia"/>
          <w:lang w:val="en-US" w:eastAsia="zh-CN"/>
        </w:rPr>
        <w:t>the</w:t>
      </w:r>
      <w:r>
        <w:rPr>
          <w:rFonts w:eastAsia="宋体"/>
          <w:lang w:val="en-US" w:eastAsia="zh-CN"/>
        </w:rPr>
        <w:t xml:space="preserve"> </w:t>
      </w:r>
      <w:r>
        <w:t xml:space="preserve">DS-TT </w:t>
      </w:r>
      <w:r>
        <w:rPr>
          <w:rFonts w:hint="eastAsia"/>
          <w:lang w:val="en-US" w:eastAsia="zh-CN"/>
        </w:rPr>
        <w:t>may</w:t>
      </w:r>
      <w:r>
        <w:t xml:space="preserve"> not</w:t>
      </w:r>
      <w:r>
        <w:rPr>
          <w:rFonts w:hint="eastAsia"/>
          <w:lang w:val="en-US" w:eastAsia="zh-CN"/>
        </w:rPr>
        <w:t xml:space="preserve"> be</w:t>
      </w:r>
      <w:r>
        <w:t xml:space="preserve"> integrated into UE</w:t>
      </w:r>
      <w:r>
        <w:rPr>
          <w:rFonts w:hint="eastAsia"/>
          <w:lang w:val="en-US" w:eastAsia="zh-CN"/>
        </w:rPr>
        <w:t xml:space="preserve">. For the case that the DS-TT and UE is separate, it is proposed to model </w:t>
      </w:r>
      <w:r>
        <w:rPr>
          <w:rFonts w:eastAsia="宋体"/>
          <w:lang w:val="en-US" w:eastAsia="zh-CN"/>
        </w:rPr>
        <w:t xml:space="preserve">the error budget for device part one PTP hop (i.e., </w:t>
      </w:r>
      <w:r>
        <w:t>±</w:t>
      </w:r>
      <w:r>
        <w:rPr>
          <w:rFonts w:eastAsia="宋体"/>
          <w:color w:val="171717"/>
        </w:rPr>
        <w:t>40ns</w:t>
      </w:r>
      <w:r>
        <w:rPr>
          <w:rFonts w:eastAsia="宋体"/>
          <w:lang w:val="en-US" w:eastAsia="zh-CN"/>
        </w:rPr>
        <w:t>).</w:t>
      </w:r>
      <w:r>
        <w:rPr>
          <w:rFonts w:hint="eastAsia"/>
          <w:lang w:val="en-US" w:eastAsia="zh-CN"/>
        </w:rPr>
        <w:t xml:space="preserve"> C</w:t>
      </w:r>
      <w:r>
        <w:rPr>
          <w:rFonts w:eastAsia="宋体"/>
          <w:lang w:val="en-US" w:eastAsia="zh-CN"/>
        </w:rPr>
        <w:t>onsidering the device may have lower sync accuracy ability than NW node, we prefer to leave a more tolerable error budget for the device part.</w:t>
      </w:r>
      <w:r>
        <w:rPr>
          <w:rFonts w:hint="eastAsia"/>
          <w:lang w:val="en-US" w:eastAsia="zh-CN"/>
        </w:rPr>
        <w:t xml:space="preserve"> For example, </w:t>
      </w:r>
      <w:r>
        <w:rPr>
          <w:rFonts w:eastAsia="宋体"/>
          <w:lang w:val="en-US" w:eastAsia="zh-CN"/>
        </w:rPr>
        <w:t>error budget</w:t>
      </w:r>
      <w:r>
        <w:rPr>
          <w:rFonts w:hint="eastAsia"/>
          <w:lang w:val="en-US" w:eastAsia="zh-CN"/>
        </w:rPr>
        <w:t xml:space="preserve"> of </w:t>
      </w:r>
      <w:r>
        <w:t>±</w:t>
      </w:r>
      <w:r>
        <w:rPr>
          <w:rFonts w:hint="eastAsia"/>
          <w:color w:val="171717"/>
          <w:lang w:val="en-US" w:eastAsia="zh-CN"/>
        </w:rPr>
        <w:t>5</w:t>
      </w:r>
      <w:r>
        <w:rPr>
          <w:rFonts w:eastAsia="宋体"/>
          <w:color w:val="171717"/>
        </w:rPr>
        <w:t>0ns</w:t>
      </w:r>
      <w:r>
        <w:rPr>
          <w:rFonts w:hint="eastAsia"/>
          <w:color w:val="171717"/>
          <w:lang w:val="en-US" w:eastAsia="zh-CN"/>
        </w:rPr>
        <w:t xml:space="preserve"> </w:t>
      </w:r>
      <w:r>
        <w:rPr>
          <w:rFonts w:eastAsia="宋体"/>
          <w:lang w:val="en-US" w:eastAsia="zh-CN"/>
        </w:rPr>
        <w:t>for the device part</w:t>
      </w:r>
      <w:r>
        <w:rPr>
          <w:rFonts w:hint="eastAsia"/>
          <w:lang w:val="en-US" w:eastAsia="zh-CN"/>
        </w:rPr>
        <w:t xml:space="preserve"> can be assumed.</w:t>
      </w:r>
    </w:p>
    <w:p>
      <w:pPr>
        <w:pStyle w:val="14"/>
        <w:keepNext/>
        <w:jc w:val="center"/>
        <w:rPr>
          <w:rFonts w:hint="eastAsia" w:eastAsia="宋体"/>
          <w:lang w:val="en-US" w:eastAsia="zh-CN"/>
        </w:rPr>
      </w:pPr>
      <w:r>
        <w:t xml:space="preserve">Table </w:t>
      </w:r>
      <w:r>
        <w:rPr>
          <w:rFonts w:hint="eastAsia"/>
          <w:lang w:val="en-US" w:eastAsia="zh-CN"/>
        </w:rPr>
        <w:t>1</w:t>
      </w:r>
      <w:r>
        <w:t>: Timing error in clock synchroni</w:t>
      </w:r>
      <w:r>
        <w:rPr>
          <w:rFonts w:hint="eastAsia"/>
          <w:lang w:val="en-US" w:eastAsia="zh-CN"/>
        </w:rPr>
        <w:t>z</w:t>
      </w:r>
      <w:r>
        <w:t>ation</w:t>
      </w:r>
      <w:r>
        <w:rPr>
          <w:rFonts w:hint="eastAsia"/>
          <w:lang w:val="en-US" w:eastAsia="zh-CN"/>
        </w:rPr>
        <w:t xml:space="preserve"> for scenario 3</w:t>
      </w:r>
    </w:p>
    <w:tbl>
      <w:tblPr>
        <w:tblStyle w:val="26"/>
        <w:tblW w:w="96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16"/>
        <w:gridCol w:w="4861"/>
        <w:gridCol w:w="1312"/>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4" w:hRule="atLeast"/>
          <w:jc w:val="center"/>
        </w:trPr>
        <w:tc>
          <w:tcPr>
            <w:tcW w:w="2116" w:type="dxa"/>
            <w:vMerge w:val="restart"/>
          </w:tcPr>
          <w:p>
            <w:pPr>
              <w:jc w:val="center"/>
              <w:rPr>
                <w:b/>
                <w:sz w:val="21"/>
              </w:rPr>
            </w:pPr>
            <w:r>
              <w:rPr>
                <w:b/>
                <w:sz w:val="21"/>
              </w:rPr>
              <w:t>Factors</w:t>
            </w:r>
          </w:p>
        </w:tc>
        <w:tc>
          <w:tcPr>
            <w:tcW w:w="4861" w:type="dxa"/>
            <w:vMerge w:val="restart"/>
            <w:shd w:val="clear" w:color="auto" w:fill="auto"/>
            <w:tcMar>
              <w:top w:w="15" w:type="dxa"/>
              <w:left w:w="108" w:type="dxa"/>
              <w:bottom w:w="0" w:type="dxa"/>
              <w:right w:w="108" w:type="dxa"/>
            </w:tcMar>
          </w:tcPr>
          <w:p>
            <w:pPr>
              <w:jc w:val="center"/>
              <w:rPr>
                <w:b/>
                <w:sz w:val="21"/>
              </w:rPr>
            </w:pPr>
            <w:r>
              <w:rPr>
                <w:b/>
                <w:sz w:val="21"/>
              </w:rPr>
              <w:t>Timing error type</w:t>
            </w:r>
          </w:p>
        </w:tc>
        <w:tc>
          <w:tcPr>
            <w:tcW w:w="2657" w:type="dxa"/>
            <w:gridSpan w:val="2"/>
            <w:shd w:val="clear" w:color="auto" w:fill="auto"/>
            <w:tcMar>
              <w:top w:w="15" w:type="dxa"/>
              <w:left w:w="108" w:type="dxa"/>
              <w:bottom w:w="0" w:type="dxa"/>
              <w:right w:w="108" w:type="dxa"/>
            </w:tcMar>
          </w:tcPr>
          <w:p>
            <w:pPr>
              <w:jc w:val="center"/>
              <w:rPr>
                <w:b/>
                <w:sz w:val="21"/>
              </w:rPr>
            </w:pPr>
            <w:r>
              <w:rPr>
                <w:b/>
                <w:sz w:val="21"/>
              </w:rPr>
              <w:t>Requirement for different SCS (kHz)</w:t>
            </w:r>
          </w:p>
          <w:p>
            <w:pPr>
              <w:jc w:val="center"/>
              <w:rPr>
                <w:b/>
                <w:sz w:val="21"/>
              </w:rPr>
            </w:pPr>
            <w:r>
              <w:rPr>
                <w:rFonts w:hint="eastAsia"/>
                <w:b/>
                <w:sz w:val="21"/>
              </w:rPr>
              <w:t>(</w:t>
            </w:r>
            <w:r>
              <w:rPr>
                <w:b/>
                <w:sz w:val="21"/>
              </w:rPr>
              <w:t>unit: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vMerge w:val="continue"/>
          </w:tcPr>
          <w:p>
            <w:pPr>
              <w:rPr>
                <w:sz w:val="21"/>
              </w:rPr>
            </w:pPr>
          </w:p>
        </w:tc>
        <w:tc>
          <w:tcPr>
            <w:tcW w:w="4861" w:type="dxa"/>
            <w:vMerge w:val="continue"/>
            <w:vAlign w:val="center"/>
          </w:tcPr>
          <w:p>
            <w:pPr>
              <w:rPr>
                <w:sz w:val="21"/>
              </w:rPr>
            </w:pPr>
          </w:p>
        </w:tc>
        <w:tc>
          <w:tcPr>
            <w:tcW w:w="1312" w:type="dxa"/>
            <w:shd w:val="clear" w:color="auto" w:fill="auto"/>
            <w:tcMar>
              <w:top w:w="15" w:type="dxa"/>
              <w:left w:w="108" w:type="dxa"/>
              <w:bottom w:w="0" w:type="dxa"/>
              <w:right w:w="108" w:type="dxa"/>
            </w:tcMar>
          </w:tcPr>
          <w:p>
            <w:pPr>
              <w:jc w:val="center"/>
              <w:rPr>
                <w:sz w:val="21"/>
              </w:rPr>
            </w:pPr>
            <w:r>
              <w:rPr>
                <w:sz w:val="21"/>
              </w:rPr>
              <w:t>15</w:t>
            </w:r>
          </w:p>
        </w:tc>
        <w:tc>
          <w:tcPr>
            <w:tcW w:w="1345" w:type="dxa"/>
            <w:shd w:val="clear" w:color="auto" w:fill="auto"/>
            <w:tcMar>
              <w:top w:w="15" w:type="dxa"/>
              <w:left w:w="108" w:type="dxa"/>
              <w:bottom w:w="0" w:type="dxa"/>
              <w:right w:w="108" w:type="dxa"/>
            </w:tcMar>
          </w:tcPr>
          <w:p>
            <w:pPr>
              <w:jc w:val="center"/>
              <w:rPr>
                <w:sz w:val="21"/>
              </w:rPr>
            </w:pPr>
            <w:r>
              <w:rPr>
                <w:sz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eastAsia="等线"/>
                <w:sz w:val="21"/>
              </w:rPr>
              <w:t>1</w:t>
            </w:r>
          </w:p>
        </w:tc>
        <w:tc>
          <w:tcPr>
            <w:tcW w:w="7518" w:type="dxa"/>
            <w:gridSpan w:val="3"/>
            <w:vAlign w:val="center"/>
          </w:tcPr>
          <w:p>
            <w:pPr>
              <w:jc w:val="left"/>
              <w:rPr>
                <w:rFonts w:eastAsia="等线"/>
                <w:sz w:val="21"/>
              </w:rPr>
            </w:pPr>
            <w:r>
              <w:rPr>
                <w:sz w:val="21"/>
              </w:rPr>
              <w:t>Inaccuracy caused by downlink/uplink frame timing alignment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1.1</w:t>
            </w:r>
          </w:p>
        </w:tc>
        <w:tc>
          <w:tcPr>
            <w:tcW w:w="4861" w:type="dxa"/>
            <w:vAlign w:val="center"/>
          </w:tcPr>
          <w:p>
            <w:pPr>
              <w:rPr>
                <w:rFonts w:eastAsia="等线"/>
                <w:sz w:val="21"/>
              </w:rPr>
            </w:pPr>
            <w:r>
              <w:rPr>
                <w:rFonts w:eastAsia="等线"/>
                <w:sz w:val="21"/>
              </w:rPr>
              <w:t xml:space="preserve">Time alignment error of gNB transmitter </w:t>
            </w:r>
            <w:r>
              <w:t>(TE</w:t>
            </w:r>
            <w:r>
              <w:rPr>
                <w:vertAlign w:val="subscript"/>
              </w:rPr>
              <w:t>TAE</w:t>
            </w:r>
            <w:r>
              <w:t>)</w:t>
            </w:r>
          </w:p>
        </w:tc>
        <w:tc>
          <w:tcPr>
            <w:tcW w:w="1312" w:type="dxa"/>
            <w:shd w:val="clear" w:color="auto" w:fill="auto"/>
            <w:tcMar>
              <w:top w:w="15" w:type="dxa"/>
              <w:left w:w="108" w:type="dxa"/>
              <w:bottom w:w="0" w:type="dxa"/>
              <w:right w:w="108" w:type="dxa"/>
            </w:tcMar>
          </w:tcPr>
          <w:p>
            <w:pPr>
              <w:jc w:val="center"/>
              <w:rPr>
                <w:sz w:val="21"/>
              </w:rPr>
            </w:pPr>
            <w:r>
              <w:rPr>
                <w:color w:val="000000" w:themeColor="text1"/>
                <w:kern w:val="24"/>
                <w:sz w:val="21"/>
                <w14:textFill>
                  <w14:solidFill>
                    <w14:schemeClr w14:val="tx1"/>
                  </w14:solidFill>
                </w14:textFill>
              </w:rPr>
              <w:t>65</w:t>
            </w:r>
          </w:p>
        </w:tc>
        <w:tc>
          <w:tcPr>
            <w:tcW w:w="1345" w:type="dxa"/>
            <w:shd w:val="clear" w:color="auto" w:fill="auto"/>
            <w:tcMar>
              <w:top w:w="15" w:type="dxa"/>
              <w:left w:w="108" w:type="dxa"/>
              <w:bottom w:w="0" w:type="dxa"/>
              <w:right w:w="108" w:type="dxa"/>
            </w:tcMar>
          </w:tcPr>
          <w:p>
            <w:pPr>
              <w:jc w:val="center"/>
              <w:rPr>
                <w:sz w:val="21"/>
              </w:rPr>
            </w:pPr>
            <w:r>
              <w:rPr>
                <w:color w:val="000000" w:themeColor="text1"/>
                <w:kern w:val="24"/>
                <w:sz w:val="21"/>
                <w14:textFill>
                  <w14:solidFill>
                    <w14:schemeClr w14:val="tx1"/>
                  </w14:solidFill>
                </w14:textFill>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1.2</w:t>
            </w:r>
          </w:p>
        </w:tc>
        <w:tc>
          <w:tcPr>
            <w:tcW w:w="4861" w:type="dxa"/>
            <w:vAlign w:val="center"/>
          </w:tcPr>
          <w:p>
            <w:pPr>
              <w:rPr>
                <w:rFonts w:eastAsia="等线"/>
                <w:sz w:val="21"/>
              </w:rPr>
            </w:pPr>
            <w:r>
              <w:rPr>
                <w:rFonts w:eastAsia="等线"/>
                <w:sz w:val="21"/>
              </w:rPr>
              <w:t xml:space="preserve">Inaccuracy caused by UE detection </w:t>
            </w:r>
            <w:r>
              <w:rPr>
                <w:szCs w:val="22"/>
              </w:rPr>
              <w:t>(TE</w:t>
            </w:r>
            <w:r>
              <w:rPr>
                <w:szCs w:val="22"/>
                <w:vertAlign w:val="subscript"/>
              </w:rPr>
              <w:t>UE-DL-RX</w:t>
            </w:r>
            <w:r>
              <w:rPr>
                <w:szCs w:val="22"/>
              </w:rPr>
              <w:t>)</w:t>
            </w:r>
          </w:p>
        </w:tc>
        <w:tc>
          <w:tcPr>
            <w:tcW w:w="1312" w:type="dxa"/>
            <w:shd w:val="clear" w:color="auto" w:fill="auto"/>
            <w:tcMar>
              <w:top w:w="15" w:type="dxa"/>
              <w:left w:w="108" w:type="dxa"/>
              <w:bottom w:w="0" w:type="dxa"/>
              <w:right w:w="108" w:type="dxa"/>
            </w:tcMar>
          </w:tcPr>
          <w:p>
            <w:pPr>
              <w:jc w:val="center"/>
              <w:rPr>
                <w:sz w:val="21"/>
              </w:rPr>
            </w:pPr>
            <w:r>
              <w:rPr>
                <w:rFonts w:hint="eastAsia"/>
                <w:color w:val="000000" w:themeColor="text1"/>
                <w:kern w:val="24"/>
                <w:sz w:val="21"/>
                <w:lang w:eastAsia="ja-JP"/>
                <w14:textFill>
                  <w14:solidFill>
                    <w14:schemeClr w14:val="tx1"/>
                  </w14:solidFill>
                </w14:textFill>
              </w:rPr>
              <w:t>26</w:t>
            </w:r>
            <w:r>
              <w:rPr>
                <w:color w:val="000000" w:themeColor="text1"/>
                <w:kern w:val="24"/>
                <w:sz w:val="21"/>
                <w:lang w:eastAsia="ja-JP"/>
                <w14:textFill>
                  <w14:solidFill>
                    <w14:schemeClr w14:val="tx1"/>
                  </w14:solidFill>
                </w14:textFill>
              </w:rPr>
              <w:t>0</w:t>
            </w:r>
          </w:p>
        </w:tc>
        <w:tc>
          <w:tcPr>
            <w:tcW w:w="1345" w:type="dxa"/>
            <w:shd w:val="clear" w:color="auto" w:fill="auto"/>
            <w:tcMar>
              <w:top w:w="15" w:type="dxa"/>
              <w:left w:w="108" w:type="dxa"/>
              <w:bottom w:w="0" w:type="dxa"/>
              <w:right w:w="108" w:type="dxa"/>
            </w:tcMar>
          </w:tcPr>
          <w:p>
            <w:pPr>
              <w:jc w:val="center"/>
              <w:rPr>
                <w:sz w:val="21"/>
              </w:rPr>
            </w:pPr>
            <w:r>
              <w:rPr>
                <w:rFonts w:hint="eastAsia"/>
                <w:color w:val="000000" w:themeColor="text1"/>
                <w:kern w:val="24"/>
                <w:sz w:val="21"/>
                <w:lang w:eastAsia="ja-JP"/>
                <w14:textFill>
                  <w14:solidFill>
                    <w14:schemeClr w14:val="tx1"/>
                  </w14:solidFill>
                </w14:textFill>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1.3</w:t>
            </w:r>
          </w:p>
        </w:tc>
        <w:tc>
          <w:tcPr>
            <w:tcW w:w="4861" w:type="dxa"/>
            <w:vAlign w:val="center"/>
          </w:tcPr>
          <w:p>
            <w:pPr>
              <w:rPr>
                <w:rFonts w:eastAsia="等线"/>
                <w:sz w:val="21"/>
              </w:rPr>
            </w:pPr>
            <w:r>
              <w:rPr>
                <w:rFonts w:eastAsia="等线"/>
                <w:sz w:val="21"/>
              </w:rPr>
              <w:t>I</w:t>
            </w:r>
            <w:r>
              <w:rPr>
                <w:rFonts w:hint="eastAsia" w:eastAsia="等线"/>
                <w:sz w:val="21"/>
              </w:rPr>
              <w:t>naccuracy caused by propagation delay</w:t>
            </w:r>
            <w:r>
              <w:rPr>
                <w:rFonts w:eastAsia="等线"/>
                <w:sz w:val="21"/>
              </w:rPr>
              <w:t xml:space="preserve"> when propagation delay is decided from TA. (1.3.1+1.3.2+1.3.3)/2</w:t>
            </w:r>
          </w:p>
        </w:tc>
        <w:tc>
          <w:tcPr>
            <w:tcW w:w="1312" w:type="dxa"/>
            <w:shd w:val="clear" w:color="auto" w:fill="auto"/>
            <w:tcMar>
              <w:top w:w="15" w:type="dxa"/>
              <w:left w:w="108" w:type="dxa"/>
              <w:bottom w:w="0" w:type="dxa"/>
              <w:right w:w="108" w:type="dxa"/>
            </w:tcMar>
          </w:tcPr>
          <w:p>
            <w:pPr>
              <w:jc w:val="center"/>
              <w:rPr>
                <w:rFonts w:eastAsia="等线"/>
                <w:sz w:val="21"/>
              </w:rPr>
            </w:pPr>
            <w:r>
              <w:rPr>
                <w:rFonts w:eastAsiaTheme="minorEastAsia"/>
                <w:sz w:val="21"/>
                <w:lang w:eastAsia="ja-JP"/>
              </w:rPr>
              <w:t>375</w:t>
            </w:r>
          </w:p>
        </w:tc>
        <w:tc>
          <w:tcPr>
            <w:tcW w:w="1345" w:type="dxa"/>
            <w:shd w:val="clear" w:color="auto" w:fill="auto"/>
            <w:tcMar>
              <w:top w:w="15" w:type="dxa"/>
              <w:left w:w="108" w:type="dxa"/>
              <w:bottom w:w="0" w:type="dxa"/>
              <w:right w:w="108" w:type="dxa"/>
            </w:tcMar>
          </w:tcPr>
          <w:p>
            <w:pPr>
              <w:jc w:val="center"/>
              <w:rPr>
                <w:rFonts w:eastAsia="等线"/>
                <w:sz w:val="21"/>
              </w:rPr>
            </w:pPr>
            <w:r>
              <w:rPr>
                <w:rFonts w:eastAsia="等线"/>
                <w:sz w:val="21"/>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1.3.1</w:t>
            </w:r>
          </w:p>
        </w:tc>
        <w:tc>
          <w:tcPr>
            <w:tcW w:w="4861" w:type="dxa"/>
            <w:vAlign w:val="center"/>
          </w:tcPr>
          <w:p>
            <w:pPr>
              <w:rPr>
                <w:rFonts w:eastAsia="等线"/>
                <w:sz w:val="21"/>
              </w:rPr>
            </w:pPr>
            <w:r>
              <w:rPr>
                <w:rFonts w:hint="eastAsia" w:eastAsia="等线"/>
                <w:sz w:val="21"/>
              </w:rPr>
              <w:t>I</w:t>
            </w:r>
            <w:r>
              <w:rPr>
                <w:rFonts w:eastAsia="等线"/>
                <w:sz w:val="21"/>
              </w:rPr>
              <w:t xml:space="preserve">naccuracy of UE transmitting </w:t>
            </w:r>
            <w:r>
              <w:t>(TE</w:t>
            </w:r>
            <w:r>
              <w:rPr>
                <w:vertAlign w:val="subscript"/>
              </w:rPr>
              <w:t>UE-DL-to-TX</w:t>
            </w:r>
            <w:r>
              <w:t>)</w:t>
            </w:r>
          </w:p>
        </w:tc>
        <w:tc>
          <w:tcPr>
            <w:tcW w:w="1312" w:type="dxa"/>
            <w:shd w:val="clear" w:color="auto" w:fill="auto"/>
            <w:tcMar>
              <w:top w:w="15" w:type="dxa"/>
              <w:left w:w="108" w:type="dxa"/>
              <w:bottom w:w="0" w:type="dxa"/>
              <w:right w:w="108" w:type="dxa"/>
            </w:tcMar>
          </w:tcPr>
          <w:p>
            <w:pPr>
              <w:jc w:val="center"/>
              <w:rPr>
                <w:color w:val="000000" w:themeColor="text1"/>
                <w:kern w:val="24"/>
                <w:sz w:val="21"/>
                <w14:textFill>
                  <w14:solidFill>
                    <w14:schemeClr w14:val="tx1"/>
                  </w14:solidFill>
                </w14:textFill>
              </w:rPr>
            </w:pPr>
            <w:r>
              <w:rPr>
                <w:color w:val="000000" w:themeColor="text1"/>
                <w:kern w:val="24"/>
                <w:sz w:val="21"/>
                <w14:textFill>
                  <w14:solidFill>
                    <w14:schemeClr w14:val="tx1"/>
                  </w14:solidFill>
                </w14:textFill>
              </w:rPr>
              <w:t>390</w:t>
            </w:r>
          </w:p>
        </w:tc>
        <w:tc>
          <w:tcPr>
            <w:tcW w:w="1345" w:type="dxa"/>
            <w:shd w:val="clear" w:color="auto" w:fill="auto"/>
            <w:tcMar>
              <w:top w:w="15" w:type="dxa"/>
              <w:left w:w="108" w:type="dxa"/>
              <w:bottom w:w="0" w:type="dxa"/>
              <w:right w:w="108" w:type="dxa"/>
            </w:tcMar>
          </w:tcPr>
          <w:p>
            <w:pPr>
              <w:jc w:val="center"/>
              <w:rPr>
                <w:color w:val="000000" w:themeColor="text1"/>
                <w:kern w:val="24"/>
                <w:sz w:val="21"/>
                <w14:textFill>
                  <w14:solidFill>
                    <w14:schemeClr w14:val="tx1"/>
                  </w14:solidFill>
                </w14:textFill>
              </w:rPr>
            </w:pPr>
            <w:r>
              <w:rPr>
                <w:color w:val="000000" w:themeColor="text1"/>
                <w:kern w:val="24"/>
                <w:sz w:val="21"/>
                <w14:textFill>
                  <w14:solidFill>
                    <w14:schemeClr w14:val="tx1"/>
                  </w14:solidFill>
                </w14:textFill>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1.3.2</w:t>
            </w:r>
          </w:p>
        </w:tc>
        <w:tc>
          <w:tcPr>
            <w:tcW w:w="4861" w:type="dxa"/>
            <w:vAlign w:val="center"/>
          </w:tcPr>
          <w:p>
            <w:pPr>
              <w:rPr>
                <w:rFonts w:eastAsia="等线"/>
                <w:sz w:val="21"/>
              </w:rPr>
            </w:pPr>
            <w:r>
              <w:rPr>
                <w:rFonts w:hint="eastAsia" w:eastAsia="等线"/>
                <w:sz w:val="21"/>
              </w:rPr>
              <w:t>Inaccuracy of gNB detection</w:t>
            </w:r>
            <w:r>
              <w:rPr>
                <w:rFonts w:eastAsia="等线"/>
                <w:sz w:val="21"/>
              </w:rPr>
              <w:t xml:space="preserve"> </w:t>
            </w:r>
            <w:r>
              <w:t>(TE</w:t>
            </w:r>
            <w:r>
              <w:rPr>
                <w:vertAlign w:val="subscript"/>
              </w:rPr>
              <w:t>UL-RX</w:t>
            </w:r>
            <w:r>
              <w:t>)</w:t>
            </w:r>
          </w:p>
        </w:tc>
        <w:tc>
          <w:tcPr>
            <w:tcW w:w="1312" w:type="dxa"/>
            <w:shd w:val="clear" w:color="auto" w:fill="auto"/>
            <w:tcMar>
              <w:top w:w="15" w:type="dxa"/>
              <w:left w:w="108" w:type="dxa"/>
              <w:bottom w:w="0" w:type="dxa"/>
              <w:right w:w="108" w:type="dxa"/>
            </w:tcMar>
          </w:tcPr>
          <w:p>
            <w:pPr>
              <w:jc w:val="center"/>
              <w:rPr>
                <w:color w:val="000000" w:themeColor="text1"/>
                <w:kern w:val="24"/>
                <w:sz w:val="21"/>
                <w14:textFill>
                  <w14:solidFill>
                    <w14:schemeClr w14:val="tx1"/>
                  </w14:solidFill>
                </w14:textFill>
              </w:rPr>
            </w:pPr>
            <w:r>
              <w:rPr>
                <w:color w:val="000000" w:themeColor="text1"/>
                <w:kern w:val="24"/>
                <w:sz w:val="21"/>
                <w14:textFill>
                  <w14:solidFill>
                    <w14:schemeClr w14:val="tx1"/>
                  </w14:solidFill>
                </w14:textFill>
              </w:rPr>
              <w:t>100</w:t>
            </w:r>
          </w:p>
        </w:tc>
        <w:tc>
          <w:tcPr>
            <w:tcW w:w="1345" w:type="dxa"/>
            <w:shd w:val="clear" w:color="auto" w:fill="auto"/>
            <w:tcMar>
              <w:top w:w="15" w:type="dxa"/>
              <w:left w:w="108" w:type="dxa"/>
              <w:bottom w:w="0" w:type="dxa"/>
              <w:right w:w="108" w:type="dxa"/>
            </w:tcMar>
          </w:tcPr>
          <w:p>
            <w:pPr>
              <w:jc w:val="center"/>
              <w:rPr>
                <w:color w:val="000000" w:themeColor="text1"/>
                <w:kern w:val="24"/>
                <w:sz w:val="21"/>
                <w14:textFill>
                  <w14:solidFill>
                    <w14:schemeClr w14:val="tx1"/>
                  </w14:solidFill>
                </w14:textFill>
              </w:rPr>
            </w:pPr>
            <w:r>
              <w:rPr>
                <w:color w:val="000000" w:themeColor="text1"/>
                <w:kern w:val="24"/>
                <w:sz w:val="21"/>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2116" w:type="dxa"/>
          </w:tcPr>
          <w:p>
            <w:pPr>
              <w:jc w:val="center"/>
              <w:rPr>
                <w:rFonts w:eastAsia="等线"/>
                <w:sz w:val="21"/>
              </w:rPr>
            </w:pPr>
            <w:r>
              <w:rPr>
                <w:rFonts w:hint="eastAsia" w:eastAsia="等线"/>
                <w:sz w:val="21"/>
              </w:rPr>
              <w:t>1.3.3</w:t>
            </w:r>
          </w:p>
        </w:tc>
        <w:tc>
          <w:tcPr>
            <w:tcW w:w="4861" w:type="dxa"/>
            <w:vAlign w:val="center"/>
          </w:tcPr>
          <w:p>
            <w:pPr>
              <w:rPr>
                <w:rFonts w:hint="eastAsia" w:eastAsia="宋体"/>
                <w:sz w:val="21"/>
                <w:lang w:val="en-US" w:eastAsia="zh-CN"/>
              </w:rPr>
            </w:pPr>
            <w:r>
              <w:rPr>
                <w:rFonts w:hint="eastAsia" w:eastAsia="等线"/>
                <w:sz w:val="21"/>
              </w:rPr>
              <w:t>Inaccuracy caused by TA indication</w:t>
            </w:r>
            <w:r>
              <w:rPr>
                <w:rFonts w:eastAsia="等线"/>
                <w:sz w:val="21"/>
              </w:rPr>
              <w:t xml:space="preserve"> </w:t>
            </w:r>
            <w:r>
              <w:t>(TE</w:t>
            </w:r>
            <w:r>
              <w:rPr>
                <w:vertAlign w:val="subscript"/>
              </w:rPr>
              <w:t>TA-G</w:t>
            </w:r>
            <w:r>
              <w:t>)</w:t>
            </w:r>
            <w:r>
              <w:rPr>
                <w:rFonts w:hint="eastAsia"/>
                <w:lang w:val="en-US" w:eastAsia="zh-CN"/>
              </w:rPr>
              <w:t>.</w:t>
            </w:r>
          </w:p>
        </w:tc>
        <w:tc>
          <w:tcPr>
            <w:tcW w:w="1312" w:type="dxa"/>
            <w:shd w:val="clear" w:color="auto" w:fill="auto"/>
            <w:tcMar>
              <w:top w:w="15" w:type="dxa"/>
              <w:left w:w="108" w:type="dxa"/>
              <w:bottom w:w="0" w:type="dxa"/>
              <w:right w:w="108" w:type="dxa"/>
            </w:tcMar>
          </w:tcPr>
          <w:p>
            <w:pPr>
              <w:jc w:val="center"/>
              <w:rPr>
                <w:color w:val="000000" w:themeColor="text1"/>
                <w:kern w:val="24"/>
                <w:sz w:val="21"/>
                <w14:textFill>
                  <w14:solidFill>
                    <w14:schemeClr w14:val="tx1"/>
                  </w14:solidFill>
                </w14:textFill>
              </w:rPr>
            </w:pPr>
            <w:r>
              <w:rPr>
                <w:rFonts w:eastAsia="等线"/>
                <w:sz w:val="21"/>
                <w:lang w:val="en-US"/>
              </w:rPr>
              <w:t>260</w:t>
            </w:r>
          </w:p>
        </w:tc>
        <w:tc>
          <w:tcPr>
            <w:tcW w:w="1345" w:type="dxa"/>
            <w:shd w:val="clear" w:color="auto" w:fill="auto"/>
            <w:tcMar>
              <w:top w:w="15" w:type="dxa"/>
              <w:left w:w="108" w:type="dxa"/>
              <w:bottom w:w="0" w:type="dxa"/>
              <w:right w:w="108" w:type="dxa"/>
            </w:tcMar>
          </w:tcPr>
          <w:p>
            <w:pPr>
              <w:jc w:val="center"/>
              <w:rPr>
                <w:color w:val="000000" w:themeColor="text1"/>
                <w:kern w:val="24"/>
                <w:sz w:val="21"/>
                <w14:textFill>
                  <w14:solidFill>
                    <w14:schemeClr w14:val="tx1"/>
                  </w14:solidFill>
                </w14:textFill>
              </w:rPr>
            </w:pPr>
            <w:r>
              <w:rPr>
                <w:rFonts w:eastAsia="等线"/>
                <w:sz w:val="21"/>
                <w:lang w:val="en-US"/>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highlight w:val="none"/>
              </w:rPr>
            </w:pPr>
            <w:r>
              <w:rPr>
                <w:rFonts w:hint="eastAsia" w:eastAsia="等线"/>
                <w:sz w:val="21"/>
                <w:highlight w:val="none"/>
              </w:rPr>
              <w:t>1.4</w:t>
            </w:r>
          </w:p>
        </w:tc>
        <w:tc>
          <w:tcPr>
            <w:tcW w:w="4861" w:type="dxa"/>
            <w:vAlign w:val="center"/>
          </w:tcPr>
          <w:p>
            <w:pPr>
              <w:rPr>
                <w:rFonts w:eastAsia="等线"/>
                <w:sz w:val="21"/>
                <w:highlight w:val="none"/>
              </w:rPr>
            </w:pPr>
            <w:r>
              <w:rPr>
                <w:rFonts w:eastAsia="等线"/>
                <w:sz w:val="21"/>
                <w:highlight w:val="none"/>
              </w:rPr>
              <w:t>I</w:t>
            </w:r>
            <w:r>
              <w:rPr>
                <w:rFonts w:hint="eastAsia" w:eastAsia="等线"/>
                <w:sz w:val="21"/>
                <w:highlight w:val="none"/>
              </w:rPr>
              <w:t>naccuracy caused by propagation delay</w:t>
            </w:r>
            <w:r>
              <w:rPr>
                <w:rFonts w:eastAsia="等线"/>
                <w:sz w:val="21"/>
                <w:highlight w:val="none"/>
              </w:rPr>
              <w:t xml:space="preserve"> when c</w:t>
            </w:r>
            <w:r>
              <w:rPr>
                <w:sz w:val="21"/>
                <w:highlight w:val="none"/>
              </w:rPr>
              <w:t>onsidering 20Km</w:t>
            </w:r>
            <w:r>
              <w:rPr>
                <w:sz w:val="21"/>
                <w:highlight w:val="none"/>
                <w:vertAlign w:val="superscript"/>
              </w:rPr>
              <w:t>2</w:t>
            </w:r>
            <w:r>
              <w:rPr>
                <w:sz w:val="21"/>
                <w:highlight w:val="none"/>
              </w:rPr>
              <w:t xml:space="preserve"> service area </w:t>
            </w:r>
            <w:r>
              <w:rPr>
                <w:szCs w:val="22"/>
                <w:highlight w:val="none"/>
              </w:rPr>
              <w:t>(</w:t>
            </w:r>
            <w:r>
              <w:rPr>
                <w:iCs/>
                <w:szCs w:val="22"/>
                <w:highlight w:val="none"/>
              </w:rPr>
              <w:t>TE</w:t>
            </w:r>
            <w:r>
              <w:rPr>
                <w:iCs/>
                <w:szCs w:val="22"/>
                <w:highlight w:val="none"/>
                <w:vertAlign w:val="subscript"/>
              </w:rPr>
              <w:t>PD</w:t>
            </w:r>
            <w:r>
              <w:rPr>
                <w:iCs/>
                <w:szCs w:val="22"/>
                <w:highlight w:val="none"/>
              </w:rPr>
              <w:t>)</w:t>
            </w:r>
          </w:p>
        </w:tc>
        <w:tc>
          <w:tcPr>
            <w:tcW w:w="1312" w:type="dxa"/>
            <w:shd w:val="clear" w:color="auto" w:fill="auto"/>
            <w:tcMar>
              <w:top w:w="15" w:type="dxa"/>
              <w:left w:w="108" w:type="dxa"/>
              <w:bottom w:w="0" w:type="dxa"/>
              <w:right w:w="108" w:type="dxa"/>
            </w:tcMar>
          </w:tcPr>
          <w:p>
            <w:pPr>
              <w:jc w:val="center"/>
              <w:rPr>
                <w:rFonts w:eastAsia="等线"/>
                <w:sz w:val="21"/>
                <w:highlight w:val="none"/>
                <w:lang w:val="en-US"/>
              </w:rPr>
            </w:pPr>
            <w:r>
              <w:rPr>
                <w:rFonts w:eastAsia="等线"/>
                <w:sz w:val="21"/>
                <w:highlight w:val="none"/>
              </w:rPr>
              <w:t>8410</w:t>
            </w:r>
          </w:p>
        </w:tc>
        <w:tc>
          <w:tcPr>
            <w:tcW w:w="1345" w:type="dxa"/>
            <w:shd w:val="clear" w:color="auto" w:fill="auto"/>
            <w:tcMar>
              <w:top w:w="15" w:type="dxa"/>
              <w:left w:w="108" w:type="dxa"/>
              <w:bottom w:w="0" w:type="dxa"/>
              <w:right w:w="108" w:type="dxa"/>
            </w:tcMar>
          </w:tcPr>
          <w:p>
            <w:pPr>
              <w:jc w:val="center"/>
              <w:rPr>
                <w:rFonts w:eastAsia="等线"/>
                <w:sz w:val="21"/>
                <w:highlight w:val="none"/>
                <w:lang w:val="en-US"/>
              </w:rPr>
            </w:pPr>
            <w:r>
              <w:rPr>
                <w:rFonts w:eastAsia="等线"/>
                <w:sz w:val="21"/>
                <w:highlight w:val="none"/>
              </w:rPr>
              <w:t>8410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2</w:t>
            </w:r>
          </w:p>
        </w:tc>
        <w:tc>
          <w:tcPr>
            <w:tcW w:w="4861" w:type="dxa"/>
            <w:vAlign w:val="center"/>
          </w:tcPr>
          <w:p>
            <w:pPr>
              <w:rPr>
                <w:rFonts w:eastAsia="等线"/>
                <w:sz w:val="21"/>
              </w:rPr>
            </w:pPr>
            <w:r>
              <w:rPr>
                <w:sz w:val="21"/>
              </w:rPr>
              <w:t>Inaccuracy caused by</w:t>
            </w:r>
            <w:r>
              <w:rPr>
                <w:rFonts w:eastAsia="等线"/>
                <w:sz w:val="21"/>
              </w:rPr>
              <w:t xml:space="preserve"> time reference information delivery from gNB to UE (TE</w:t>
            </w:r>
            <w:r>
              <w:rPr>
                <w:rFonts w:eastAsia="等线"/>
                <w:sz w:val="21"/>
                <w:vertAlign w:val="subscript"/>
              </w:rPr>
              <w:t>RT</w:t>
            </w:r>
            <w:r>
              <w:rPr>
                <w:rFonts w:eastAsia="等线"/>
                <w:sz w:val="21"/>
              </w:rPr>
              <w:t>)</w:t>
            </w:r>
          </w:p>
        </w:tc>
        <w:tc>
          <w:tcPr>
            <w:tcW w:w="1312" w:type="dxa"/>
            <w:shd w:val="clear" w:color="auto" w:fill="auto"/>
            <w:tcMar>
              <w:top w:w="15" w:type="dxa"/>
              <w:left w:w="108" w:type="dxa"/>
              <w:bottom w:w="0" w:type="dxa"/>
              <w:right w:w="108" w:type="dxa"/>
            </w:tcMar>
          </w:tcPr>
          <w:p>
            <w:pPr>
              <w:jc w:val="center"/>
              <w:rPr>
                <w:sz w:val="21"/>
              </w:rPr>
            </w:pPr>
            <w:r>
              <w:rPr>
                <w:sz w:val="21"/>
              </w:rPr>
              <w:t>5</w:t>
            </w:r>
          </w:p>
        </w:tc>
        <w:tc>
          <w:tcPr>
            <w:tcW w:w="1345" w:type="dxa"/>
            <w:shd w:val="clear" w:color="auto" w:fill="auto"/>
            <w:tcMar>
              <w:top w:w="15" w:type="dxa"/>
              <w:left w:w="108" w:type="dxa"/>
              <w:bottom w:w="0" w:type="dxa"/>
              <w:right w:w="108" w:type="dxa"/>
            </w:tcMar>
          </w:tcPr>
          <w:p>
            <w:pPr>
              <w:jc w:val="center"/>
              <w:rPr>
                <w:sz w:val="21"/>
              </w:rPr>
            </w:pPr>
            <w:r>
              <w:rPr>
                <w:sz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3</w:t>
            </w:r>
          </w:p>
          <w:p>
            <w:pPr>
              <w:jc w:val="center"/>
              <w:rPr>
                <w:rFonts w:eastAsia="等线"/>
                <w:sz w:val="21"/>
              </w:rPr>
            </w:pPr>
          </w:p>
        </w:tc>
        <w:tc>
          <w:tcPr>
            <w:tcW w:w="4861" w:type="dxa"/>
            <w:vAlign w:val="center"/>
          </w:tcPr>
          <w:p>
            <w:pPr>
              <w:rPr>
                <w:rFonts w:hint="eastAsia" w:eastAsia="等线"/>
                <w:sz w:val="21"/>
                <w:lang w:val="en-US" w:eastAsia="zh-CN"/>
              </w:rPr>
            </w:pPr>
            <w:r>
              <w:rPr>
                <w:rFonts w:eastAsia="等线"/>
                <w:sz w:val="21"/>
              </w:rPr>
              <w:t>Inaccuracy caused by the synchroni</w:t>
            </w:r>
            <w:r>
              <w:rPr>
                <w:rFonts w:hint="eastAsia" w:eastAsia="等线"/>
                <w:sz w:val="21"/>
                <w:lang w:val="en-US" w:eastAsia="zh-CN"/>
              </w:rPr>
              <w:t>z</w:t>
            </w:r>
            <w:r>
              <w:rPr>
                <w:rFonts w:eastAsia="等线"/>
                <w:sz w:val="21"/>
              </w:rPr>
              <w:t xml:space="preserve">ation between the gNB and </w:t>
            </w:r>
            <w:r>
              <w:rPr>
                <w:rFonts w:hint="eastAsia" w:eastAsia="等线"/>
                <w:sz w:val="21"/>
                <w:lang w:val="en-US" w:eastAsia="zh-CN"/>
              </w:rPr>
              <w:t>TG GM</w:t>
            </w:r>
          </w:p>
        </w:tc>
        <w:tc>
          <w:tcPr>
            <w:tcW w:w="1312" w:type="dxa"/>
            <w:shd w:val="clear" w:color="auto" w:fill="auto"/>
            <w:tcMar>
              <w:top w:w="15" w:type="dxa"/>
              <w:left w:w="108" w:type="dxa"/>
              <w:bottom w:w="0" w:type="dxa"/>
              <w:right w:w="108" w:type="dxa"/>
            </w:tcMar>
          </w:tcPr>
          <w:p>
            <w:pPr>
              <w:jc w:val="center"/>
              <w:rPr>
                <w:sz w:val="21"/>
              </w:rPr>
            </w:pPr>
            <w:r>
              <w:rPr>
                <w:sz w:val="21"/>
              </w:rPr>
              <w:t>100</w:t>
            </w:r>
          </w:p>
        </w:tc>
        <w:tc>
          <w:tcPr>
            <w:tcW w:w="1345" w:type="dxa"/>
            <w:shd w:val="clear" w:color="auto" w:fill="auto"/>
            <w:tcMar>
              <w:top w:w="15" w:type="dxa"/>
              <w:left w:w="108" w:type="dxa"/>
              <w:bottom w:w="0" w:type="dxa"/>
              <w:right w:w="108" w:type="dxa"/>
            </w:tcMar>
          </w:tcPr>
          <w:p>
            <w:pPr>
              <w:jc w:val="center"/>
              <w:rPr>
                <w:sz w:val="21"/>
              </w:rPr>
            </w:pPr>
            <w:r>
              <w:rPr>
                <w:sz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hint="eastAsia" w:eastAsia="等线"/>
                <w:sz w:val="21"/>
                <w:lang w:val="en-US" w:eastAsia="zh-CN"/>
              </w:rPr>
            </w:pPr>
            <w:r>
              <w:rPr>
                <w:rFonts w:hint="eastAsia" w:eastAsia="等线"/>
                <w:sz w:val="21"/>
                <w:lang w:val="en-US" w:eastAsia="zh-CN"/>
              </w:rPr>
              <w:t>4</w:t>
            </w:r>
          </w:p>
        </w:tc>
        <w:tc>
          <w:tcPr>
            <w:tcW w:w="4861" w:type="dxa"/>
            <w:vAlign w:val="center"/>
          </w:tcPr>
          <w:p>
            <w:pPr>
              <w:rPr>
                <w:rFonts w:hint="eastAsia" w:eastAsia="等线"/>
                <w:sz w:val="21"/>
                <w:lang w:val="en-US" w:eastAsia="zh-CN"/>
              </w:rPr>
            </w:pPr>
            <w:r>
              <w:rPr>
                <w:rFonts w:eastAsia="等线"/>
                <w:sz w:val="21"/>
              </w:rPr>
              <w:t>Inaccuracy caused by</w:t>
            </w:r>
            <w:r>
              <w:rPr>
                <w:rFonts w:hint="eastAsia" w:eastAsia="等线"/>
                <w:sz w:val="21"/>
                <w:lang w:val="en-US" w:eastAsia="zh-CN"/>
              </w:rPr>
              <w:t xml:space="preserve"> the synchronization between the UE and the DS-TT</w:t>
            </w:r>
          </w:p>
        </w:tc>
        <w:tc>
          <w:tcPr>
            <w:tcW w:w="1312" w:type="dxa"/>
            <w:shd w:val="clear" w:color="auto" w:fill="auto"/>
            <w:tcMar>
              <w:top w:w="15" w:type="dxa"/>
              <w:left w:w="108" w:type="dxa"/>
              <w:bottom w:w="0" w:type="dxa"/>
              <w:right w:w="108" w:type="dxa"/>
            </w:tcMar>
          </w:tcPr>
          <w:p>
            <w:pPr>
              <w:jc w:val="center"/>
              <w:rPr>
                <w:rFonts w:hint="eastAsia" w:eastAsia="宋体"/>
                <w:sz w:val="21"/>
                <w:lang w:val="en-US" w:eastAsia="zh-CN"/>
              </w:rPr>
            </w:pPr>
            <w:r>
              <w:rPr>
                <w:rFonts w:hint="eastAsia"/>
                <w:sz w:val="21"/>
                <w:lang w:val="en-US" w:eastAsia="zh-CN"/>
              </w:rPr>
              <w:t>50</w:t>
            </w:r>
          </w:p>
        </w:tc>
        <w:tc>
          <w:tcPr>
            <w:tcW w:w="1345" w:type="dxa"/>
            <w:shd w:val="clear" w:color="auto" w:fill="auto"/>
            <w:tcMar>
              <w:top w:w="15" w:type="dxa"/>
              <w:left w:w="108" w:type="dxa"/>
              <w:bottom w:w="0" w:type="dxa"/>
              <w:right w:w="108" w:type="dxa"/>
            </w:tcMar>
          </w:tcPr>
          <w:p>
            <w:pPr>
              <w:jc w:val="center"/>
              <w:rPr>
                <w:rFonts w:hint="eastAsia" w:eastAsia="宋体"/>
                <w:sz w:val="21"/>
                <w:lang w:val="en-US" w:eastAsia="zh-CN"/>
              </w:rPr>
            </w:pPr>
            <w:r>
              <w:rPr>
                <w:rFonts w:hint="eastAsia"/>
                <w:sz w:val="21"/>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hint="eastAsia" w:eastAsia="等线"/>
                <w:sz w:val="21"/>
                <w:highlight w:val="none"/>
                <w:lang w:val="en-US" w:eastAsia="zh-CN"/>
              </w:rPr>
            </w:pPr>
            <w:r>
              <w:rPr>
                <w:rFonts w:eastAsia="等线"/>
                <w:sz w:val="21"/>
                <w:highlight w:val="none"/>
              </w:rPr>
              <w:t>Total error</w:t>
            </w:r>
            <w:r>
              <w:rPr>
                <w:rFonts w:hint="eastAsia" w:eastAsia="等线"/>
                <w:sz w:val="21"/>
                <w:highlight w:val="none"/>
                <w:lang w:val="en-US" w:eastAsia="zh-CN"/>
              </w:rPr>
              <w:t xml:space="preserve"> over Uu</w:t>
            </w:r>
          </w:p>
        </w:tc>
        <w:tc>
          <w:tcPr>
            <w:tcW w:w="4861" w:type="dxa"/>
          </w:tcPr>
          <w:p>
            <w:pPr>
              <w:rPr>
                <w:rFonts w:eastAsia="等线"/>
                <w:sz w:val="21"/>
                <w:highlight w:val="none"/>
              </w:rPr>
            </w:pPr>
            <w:r>
              <w:rPr>
                <w:rFonts w:eastAsia="等线"/>
                <w:sz w:val="21"/>
                <w:highlight w:val="none"/>
              </w:rPr>
              <w:t xml:space="preserve"> </w:t>
            </w:r>
            <w:r>
              <w:rPr>
                <w:rFonts w:hint="eastAsia" w:eastAsia="等线"/>
                <w:sz w:val="21"/>
                <w:highlight w:val="none"/>
              </w:rPr>
              <w:t xml:space="preserve">Total inaccuracy </w:t>
            </w:r>
            <w:r>
              <w:rPr>
                <w:rFonts w:eastAsia="等线"/>
                <w:sz w:val="21"/>
                <w:highlight w:val="none"/>
              </w:rPr>
              <w:t xml:space="preserve">for 20 km2 service area (with propagation compensation) </w:t>
            </w:r>
            <w:r>
              <w:rPr>
                <w:rFonts w:hint="eastAsia" w:eastAsia="等线"/>
                <w:sz w:val="21"/>
                <w:highlight w:val="none"/>
              </w:rPr>
              <w:t>=</w:t>
            </w:r>
            <w:r>
              <w:rPr>
                <w:rFonts w:eastAsia="等线"/>
                <w:sz w:val="21"/>
                <w:highlight w:val="none"/>
              </w:rPr>
              <w:t xml:space="preserve"> 1.1+1.2+1.3+2</w:t>
            </w:r>
          </w:p>
        </w:tc>
        <w:tc>
          <w:tcPr>
            <w:tcW w:w="1312" w:type="dxa"/>
            <w:shd w:val="clear" w:color="auto" w:fill="auto"/>
            <w:tcMar>
              <w:top w:w="15" w:type="dxa"/>
              <w:left w:w="108" w:type="dxa"/>
              <w:bottom w:w="0" w:type="dxa"/>
              <w:right w:w="108" w:type="dxa"/>
            </w:tcMar>
            <w:vAlign w:val="center"/>
          </w:tcPr>
          <w:p>
            <w:pPr>
              <w:jc w:val="center"/>
              <w:rPr>
                <w:rFonts w:hint="eastAsia" w:eastAsia="等线"/>
                <w:sz w:val="21"/>
                <w:highlight w:val="none"/>
                <w:lang w:val="en-US" w:eastAsia="zh-CN"/>
              </w:rPr>
            </w:pPr>
            <w:r>
              <w:rPr>
                <w:rFonts w:hint="eastAsia" w:eastAsia="等线"/>
                <w:sz w:val="21"/>
                <w:highlight w:val="none"/>
                <w:lang w:val="en-US" w:eastAsia="zh-CN"/>
              </w:rPr>
              <w:t>705</w:t>
            </w:r>
          </w:p>
        </w:tc>
        <w:tc>
          <w:tcPr>
            <w:tcW w:w="1345" w:type="dxa"/>
            <w:shd w:val="clear" w:color="auto" w:fill="auto"/>
            <w:tcMar>
              <w:top w:w="15" w:type="dxa"/>
              <w:left w:w="108" w:type="dxa"/>
              <w:bottom w:w="0" w:type="dxa"/>
              <w:right w:w="108" w:type="dxa"/>
            </w:tcMar>
            <w:vAlign w:val="center"/>
          </w:tcPr>
          <w:p>
            <w:pPr>
              <w:jc w:val="center"/>
              <w:rPr>
                <w:rFonts w:hint="eastAsia" w:eastAsia="宋体"/>
                <w:sz w:val="21"/>
                <w:highlight w:val="none"/>
                <w:lang w:val="en-US" w:eastAsia="zh-CN"/>
              </w:rPr>
            </w:pPr>
            <w:r>
              <w:rPr>
                <w:rFonts w:hint="eastAsia" w:eastAsia="等线"/>
                <w:sz w:val="21"/>
                <w:highlight w:val="none"/>
                <w:lang w:val="en-US" w:eastAsia="zh-CN"/>
              </w:rPr>
              <w:t>575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hint="eastAsia" w:eastAsia="等线"/>
                <w:sz w:val="21"/>
                <w:highlight w:val="yellow"/>
                <w:lang w:val="en-US" w:eastAsia="zh-CN"/>
              </w:rPr>
            </w:pPr>
            <w:r>
              <w:rPr>
                <w:rFonts w:eastAsia="等线"/>
                <w:sz w:val="21"/>
                <w:highlight w:val="yellow"/>
              </w:rPr>
              <w:t>Total error</w:t>
            </w:r>
            <w:r>
              <w:rPr>
                <w:rFonts w:hint="eastAsia" w:eastAsia="等线"/>
                <w:sz w:val="21"/>
                <w:highlight w:val="yellow"/>
                <w:lang w:val="en-US" w:eastAsia="zh-CN"/>
              </w:rPr>
              <w:t xml:space="preserve"> of 5GS E2E</w:t>
            </w:r>
          </w:p>
        </w:tc>
        <w:tc>
          <w:tcPr>
            <w:tcW w:w="4861" w:type="dxa"/>
          </w:tcPr>
          <w:p>
            <w:pPr>
              <w:rPr>
                <w:rFonts w:hint="eastAsia" w:eastAsia="等线"/>
                <w:sz w:val="21"/>
                <w:highlight w:val="yellow"/>
                <w:lang w:val="en-US" w:eastAsia="zh-CN"/>
              </w:rPr>
            </w:pPr>
            <w:r>
              <w:rPr>
                <w:rFonts w:hint="eastAsia" w:eastAsia="等线"/>
                <w:sz w:val="21"/>
                <w:highlight w:val="yellow"/>
              </w:rPr>
              <w:t xml:space="preserve">Total inaccuracy </w:t>
            </w:r>
            <w:r>
              <w:rPr>
                <w:rFonts w:eastAsia="等线"/>
                <w:sz w:val="21"/>
                <w:highlight w:val="yellow"/>
              </w:rPr>
              <w:t xml:space="preserve">for 20 km2 service area (with propagation compensation) </w:t>
            </w:r>
            <w:r>
              <w:rPr>
                <w:rFonts w:hint="eastAsia" w:eastAsia="等线"/>
                <w:sz w:val="21"/>
                <w:highlight w:val="yellow"/>
              </w:rPr>
              <w:t>=</w:t>
            </w:r>
            <w:r>
              <w:rPr>
                <w:rFonts w:eastAsia="等线"/>
                <w:sz w:val="21"/>
                <w:highlight w:val="yellow"/>
              </w:rPr>
              <w:t xml:space="preserve"> 1.1+1.2+1.3+2+3</w:t>
            </w:r>
            <w:r>
              <w:rPr>
                <w:rFonts w:hint="eastAsia" w:eastAsia="等线"/>
                <w:sz w:val="21"/>
                <w:highlight w:val="yellow"/>
                <w:lang w:val="en-US" w:eastAsia="zh-CN"/>
              </w:rPr>
              <w:t>+4</w:t>
            </w:r>
          </w:p>
        </w:tc>
        <w:tc>
          <w:tcPr>
            <w:tcW w:w="1312" w:type="dxa"/>
            <w:shd w:val="clear" w:color="auto" w:fill="auto"/>
            <w:tcMar>
              <w:top w:w="15" w:type="dxa"/>
              <w:left w:w="108" w:type="dxa"/>
              <w:bottom w:w="0" w:type="dxa"/>
              <w:right w:w="108" w:type="dxa"/>
            </w:tcMar>
            <w:vAlign w:val="center"/>
          </w:tcPr>
          <w:p>
            <w:pPr>
              <w:jc w:val="center"/>
              <w:rPr>
                <w:rFonts w:hint="eastAsia" w:eastAsia="等线"/>
                <w:sz w:val="21"/>
                <w:highlight w:val="yellow"/>
                <w:lang w:val="en-US" w:eastAsia="zh-CN"/>
              </w:rPr>
            </w:pPr>
            <w:r>
              <w:rPr>
                <w:rFonts w:hint="eastAsia" w:eastAsia="等线"/>
                <w:sz w:val="21"/>
                <w:highlight w:val="yellow"/>
                <w:lang w:val="en-US" w:eastAsia="zh-CN"/>
              </w:rPr>
              <w:t>855</w:t>
            </w:r>
          </w:p>
        </w:tc>
        <w:tc>
          <w:tcPr>
            <w:tcW w:w="1345" w:type="dxa"/>
            <w:shd w:val="clear" w:color="auto" w:fill="auto"/>
            <w:tcMar>
              <w:top w:w="15" w:type="dxa"/>
              <w:left w:w="108" w:type="dxa"/>
              <w:bottom w:w="0" w:type="dxa"/>
              <w:right w:w="108" w:type="dxa"/>
            </w:tcMar>
            <w:vAlign w:val="center"/>
          </w:tcPr>
          <w:p>
            <w:pPr>
              <w:jc w:val="center"/>
              <w:rPr>
                <w:rFonts w:hint="eastAsia"/>
                <w:color w:val="000000"/>
                <w:szCs w:val="22"/>
                <w:highlight w:val="none"/>
                <w:lang w:val="en-US" w:eastAsia="zh-CN"/>
              </w:rPr>
            </w:pPr>
            <w:r>
              <w:rPr>
                <w:rFonts w:hint="eastAsia" w:eastAsia="等线"/>
                <w:sz w:val="21"/>
                <w:highlight w:val="yellow"/>
                <w:lang w:val="en-US" w:eastAsia="zh-CN"/>
              </w:rPr>
              <w:t>725</w:t>
            </w:r>
          </w:p>
        </w:tc>
      </w:tr>
    </w:tbl>
    <w:p>
      <w:pPr>
        <w:rPr>
          <w:lang w:eastAsia="ko-KR"/>
        </w:rPr>
      </w:pPr>
      <w:r>
        <w:rPr>
          <w:lang w:eastAsia="ko-KR"/>
        </w:rPr>
        <w:t xml:space="preserve">According to the analysis given in the above table, the inaccuracy of 15/30KHz SCS can fulfil the TSN clock synchronization requirements of </w:t>
      </w:r>
      <w:r>
        <w:rPr>
          <w:rFonts w:hint="eastAsia"/>
          <w:lang w:val="en-US" w:eastAsia="zh-CN"/>
        </w:rPr>
        <w:t>1000ns for scenario 3</w:t>
      </w:r>
      <w:r>
        <w:rPr>
          <w:lang w:eastAsia="ko-KR"/>
        </w:rPr>
        <w:t xml:space="preserve">. </w:t>
      </w:r>
    </w:p>
    <w:p>
      <w:pPr>
        <w:rPr>
          <w:rFonts w:hint="eastAsia" w:eastAsia="宋体"/>
          <w:b/>
          <w:bCs/>
          <w:lang w:val="en-US" w:eastAsia="zh-CN"/>
        </w:rPr>
      </w:pPr>
      <w:r>
        <w:rPr>
          <w:rFonts w:hint="eastAsia"/>
          <w:b/>
          <w:bCs/>
          <w:lang w:val="en-US" w:eastAsia="zh-CN"/>
        </w:rPr>
        <w:t>Observation 1：</w:t>
      </w:r>
      <w:r>
        <w:rPr>
          <w:rFonts w:hint="eastAsia"/>
          <w:b/>
          <w:bCs/>
          <w:szCs w:val="22"/>
          <w:lang w:val="en-US" w:eastAsia="zh-CN"/>
        </w:rPr>
        <w:t xml:space="preserve">Propagation delay compensation based on legacy TA can be used to support the smart grid use case with </w:t>
      </w:r>
      <w:r>
        <w:rPr>
          <w:b/>
          <w:bCs/>
          <w:lang w:eastAsia="ko-KR"/>
        </w:rPr>
        <w:t>synchronization requirements of</w:t>
      </w:r>
      <w:r>
        <w:rPr>
          <w:rFonts w:hint="eastAsia"/>
          <w:b/>
          <w:bCs/>
          <w:lang w:val="en-US" w:eastAsia="zh-CN"/>
        </w:rPr>
        <w:t xml:space="preserve"> 1000ns</w:t>
      </w:r>
      <w:r>
        <w:rPr>
          <w:rFonts w:hint="eastAsia"/>
          <w:b/>
          <w:bCs/>
          <w:szCs w:val="22"/>
          <w:lang w:val="en-US" w:eastAsia="zh-CN"/>
        </w:rPr>
        <w:t>.</w:t>
      </w:r>
    </w:p>
    <w:p>
      <w:pPr>
        <w:pStyle w:val="4"/>
        <w:rPr>
          <w:sz w:val="24"/>
          <w:szCs w:val="24"/>
        </w:rPr>
      </w:pPr>
      <w:r>
        <w:rPr>
          <w:rFonts w:hint="eastAsia"/>
          <w:sz w:val="24"/>
          <w:szCs w:val="24"/>
          <w:lang w:val="en-US" w:eastAsia="zh-CN"/>
        </w:rPr>
        <w:t>Control-to-Control use case (scenario 2)</w:t>
      </w:r>
    </w:p>
    <w:p>
      <w:pPr>
        <w:keepNext/>
        <w:jc w:val="center"/>
      </w:pPr>
      <w:r>
        <w:object>
          <v:shape id="_x0000_i1026" o:spt="75" type="#_x0000_t75" style="height:130.6pt;width:337.55pt;" o:ole="t" filled="f" o:preferrelative="t" stroked="f" coordsize="21600,21600">
            <v:path/>
            <v:fill on="f" focussize="0,0"/>
            <v:stroke on="f"/>
            <v:imagedata r:id="rId11" o:title=""/>
            <o:lock v:ext="edit" aspectratio="t"/>
            <w10:wrap type="none"/>
            <w10:anchorlock/>
          </v:shape>
          <o:OLEObject Type="Embed" ProgID="Visio.Drawing.15" ShapeID="_x0000_i1026" DrawAspect="Content" ObjectID="_1468075726" r:id="rId10">
            <o:LockedField>false</o:LockedField>
          </o:OLEObject>
        </w:object>
      </w:r>
    </w:p>
    <w:p>
      <w:pPr>
        <w:pStyle w:val="14"/>
        <w:jc w:val="center"/>
      </w:pPr>
      <w:r>
        <w:t xml:space="preserve">Figure </w:t>
      </w:r>
      <w:r>
        <w:rPr>
          <w:rFonts w:hint="eastAsia"/>
          <w:lang w:val="en-US" w:eastAsia="zh-CN"/>
        </w:rPr>
        <w:t>3</w:t>
      </w:r>
      <w:r>
        <w:t>: UE-to-UE gPTP message transmission</w:t>
      </w:r>
    </w:p>
    <w:p>
      <w:r>
        <w:t>An example of UE-to-UE gPTP message transmission is illustrated above. As two UE(s) need to be synchronized with the 5G GM</w:t>
      </w:r>
      <w:r>
        <w:rPr>
          <w:rFonts w:hint="eastAsia"/>
        </w:rPr>
        <w:t xml:space="preserve"> </w:t>
      </w:r>
      <w:r>
        <w:t xml:space="preserve">via the reference time provided by the gNB. Then the errors added by the two UEs would be doubled. </w:t>
      </w:r>
    </w:p>
    <w:p>
      <w:pPr>
        <w:overflowPunct w:val="0"/>
        <w:autoSpaceDE w:val="0"/>
        <w:autoSpaceDN w:val="0"/>
        <w:adjustRightInd w:val="0"/>
        <w:spacing w:after="0" w:line="240" w:lineRule="auto"/>
        <w:contextualSpacing/>
        <w:jc w:val="both"/>
        <w:textAlignment w:val="baseline"/>
        <w:rPr>
          <w:rFonts w:hint="eastAsia" w:eastAsia="宋体"/>
          <w:lang w:val="en-US" w:eastAsia="zh-CN"/>
        </w:rPr>
      </w:pPr>
      <w:r>
        <w:rPr>
          <w:rFonts w:hint="eastAsia"/>
          <w:lang w:val="en-US" w:eastAsia="zh-CN"/>
        </w:rPr>
        <w:t xml:space="preserve">During the email discussion, there is a common understanding that a single gNB is not enough to cover the service area with 1000m*100m. </w:t>
      </w:r>
      <w:r>
        <w:rPr>
          <w:rFonts w:hint="eastAsia"/>
          <w:szCs w:val="22"/>
          <w:lang w:val="en-US" w:eastAsia="zh-CN"/>
        </w:rPr>
        <w:t xml:space="preserve">The network deployment of more than one gNB/DU/TRP is possible. No matter what kind of network deployment is, </w:t>
      </w:r>
      <w:r>
        <w:rPr>
          <w:rFonts w:hint="eastAsia"/>
          <w:lang w:val="en-US" w:eastAsia="zh-CN"/>
        </w:rPr>
        <w:t>the majority of companies think that the error budget of NW part can modeled as</w:t>
      </w:r>
      <w:r>
        <w:rPr>
          <w:rFonts w:eastAsia="宋体"/>
          <w:color w:val="171717"/>
        </w:rPr>
        <w:t xml:space="preserve"> ±|TE|&lt;N*40ns.</w:t>
      </w:r>
      <w:r>
        <w:rPr>
          <w:rFonts w:hint="eastAsia"/>
          <w:color w:val="171717"/>
          <w:lang w:val="en-US" w:eastAsia="zh-CN"/>
        </w:rPr>
        <w:t xml:space="preserve"> Our view is that N is assumed as 4 for both</w:t>
      </w:r>
      <w:r>
        <w:rPr>
          <w:rFonts w:eastAsia="宋体"/>
          <w:color w:val="171717"/>
          <w:lang w:val="en-US" w:eastAsia="zh-CN"/>
        </w:rPr>
        <w:t xml:space="preserve"> the network architecture with/without CU/DC split</w:t>
      </w:r>
      <w:r>
        <w:rPr>
          <w:rFonts w:hint="eastAsia"/>
          <w:color w:val="171717"/>
          <w:lang w:val="en-US" w:eastAsia="zh-CN"/>
        </w:rPr>
        <w:t>.</w:t>
      </w:r>
    </w:p>
    <w:p>
      <w:pPr>
        <w:pStyle w:val="14"/>
        <w:keepNext/>
        <w:jc w:val="center"/>
        <w:rPr>
          <w:rFonts w:hint="eastAsia" w:eastAsia="宋体"/>
          <w:lang w:val="en-US" w:eastAsia="zh-CN"/>
        </w:rPr>
      </w:pPr>
      <w:r>
        <w:t xml:space="preserve">Table </w:t>
      </w:r>
      <w:r>
        <w:rPr>
          <w:rFonts w:hint="eastAsia"/>
          <w:lang w:val="en-US" w:eastAsia="zh-CN"/>
        </w:rPr>
        <w:t>2</w:t>
      </w:r>
      <w:r>
        <w:t>: Timing error in clock synchroni</w:t>
      </w:r>
      <w:r>
        <w:rPr>
          <w:rFonts w:hint="eastAsia"/>
          <w:lang w:val="en-US" w:eastAsia="zh-CN"/>
        </w:rPr>
        <w:t>z</w:t>
      </w:r>
      <w:r>
        <w:t>ation</w:t>
      </w:r>
      <w:r>
        <w:rPr>
          <w:rFonts w:hint="eastAsia"/>
          <w:lang w:val="en-US" w:eastAsia="zh-CN"/>
        </w:rPr>
        <w:t xml:space="preserve"> for scenario 2</w:t>
      </w:r>
    </w:p>
    <w:tbl>
      <w:tblPr>
        <w:tblStyle w:val="26"/>
        <w:tblW w:w="96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116"/>
        <w:gridCol w:w="4861"/>
        <w:gridCol w:w="1312"/>
        <w:gridCol w:w="1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44" w:hRule="atLeast"/>
          <w:jc w:val="center"/>
        </w:trPr>
        <w:tc>
          <w:tcPr>
            <w:tcW w:w="2116" w:type="dxa"/>
            <w:vMerge w:val="restart"/>
          </w:tcPr>
          <w:p>
            <w:pPr>
              <w:jc w:val="center"/>
              <w:rPr>
                <w:b/>
                <w:sz w:val="21"/>
              </w:rPr>
            </w:pPr>
            <w:r>
              <w:rPr>
                <w:b/>
                <w:sz w:val="21"/>
              </w:rPr>
              <w:t>Factors</w:t>
            </w:r>
          </w:p>
        </w:tc>
        <w:tc>
          <w:tcPr>
            <w:tcW w:w="4861" w:type="dxa"/>
            <w:vMerge w:val="restart"/>
            <w:shd w:val="clear" w:color="auto" w:fill="auto"/>
            <w:tcMar>
              <w:top w:w="15" w:type="dxa"/>
              <w:left w:w="108" w:type="dxa"/>
              <w:bottom w:w="0" w:type="dxa"/>
              <w:right w:w="108" w:type="dxa"/>
            </w:tcMar>
          </w:tcPr>
          <w:p>
            <w:pPr>
              <w:jc w:val="center"/>
              <w:rPr>
                <w:b/>
                <w:sz w:val="21"/>
              </w:rPr>
            </w:pPr>
            <w:r>
              <w:rPr>
                <w:b/>
                <w:sz w:val="21"/>
              </w:rPr>
              <w:t>Timing error type</w:t>
            </w:r>
          </w:p>
        </w:tc>
        <w:tc>
          <w:tcPr>
            <w:tcW w:w="2657" w:type="dxa"/>
            <w:gridSpan w:val="2"/>
            <w:shd w:val="clear" w:color="auto" w:fill="auto"/>
            <w:tcMar>
              <w:top w:w="15" w:type="dxa"/>
              <w:left w:w="108" w:type="dxa"/>
              <w:bottom w:w="0" w:type="dxa"/>
              <w:right w:w="108" w:type="dxa"/>
            </w:tcMar>
          </w:tcPr>
          <w:p>
            <w:pPr>
              <w:jc w:val="center"/>
              <w:rPr>
                <w:b/>
                <w:sz w:val="21"/>
              </w:rPr>
            </w:pPr>
            <w:r>
              <w:rPr>
                <w:b/>
                <w:sz w:val="21"/>
              </w:rPr>
              <w:t>Requirement for different SCS (kHz)</w:t>
            </w:r>
          </w:p>
          <w:p>
            <w:pPr>
              <w:jc w:val="center"/>
              <w:rPr>
                <w:b/>
                <w:sz w:val="21"/>
              </w:rPr>
            </w:pPr>
            <w:r>
              <w:rPr>
                <w:rFonts w:hint="eastAsia"/>
                <w:b/>
                <w:sz w:val="21"/>
              </w:rPr>
              <w:t>(</w:t>
            </w:r>
            <w:r>
              <w:rPr>
                <w:b/>
                <w:sz w:val="21"/>
              </w:rPr>
              <w:t>unit: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vMerge w:val="continue"/>
          </w:tcPr>
          <w:p>
            <w:pPr>
              <w:rPr>
                <w:sz w:val="21"/>
              </w:rPr>
            </w:pPr>
          </w:p>
        </w:tc>
        <w:tc>
          <w:tcPr>
            <w:tcW w:w="4861" w:type="dxa"/>
            <w:vMerge w:val="continue"/>
            <w:vAlign w:val="center"/>
          </w:tcPr>
          <w:p>
            <w:pPr>
              <w:rPr>
                <w:sz w:val="21"/>
              </w:rPr>
            </w:pPr>
          </w:p>
        </w:tc>
        <w:tc>
          <w:tcPr>
            <w:tcW w:w="1312" w:type="dxa"/>
            <w:shd w:val="clear" w:color="auto" w:fill="auto"/>
            <w:tcMar>
              <w:top w:w="15" w:type="dxa"/>
              <w:left w:w="108" w:type="dxa"/>
              <w:bottom w:w="0" w:type="dxa"/>
              <w:right w:w="108" w:type="dxa"/>
            </w:tcMar>
          </w:tcPr>
          <w:p>
            <w:pPr>
              <w:jc w:val="center"/>
              <w:rPr>
                <w:sz w:val="21"/>
              </w:rPr>
            </w:pPr>
            <w:r>
              <w:rPr>
                <w:sz w:val="21"/>
              </w:rPr>
              <w:t>15</w:t>
            </w:r>
          </w:p>
        </w:tc>
        <w:tc>
          <w:tcPr>
            <w:tcW w:w="1345" w:type="dxa"/>
            <w:shd w:val="clear" w:color="auto" w:fill="auto"/>
            <w:tcMar>
              <w:top w:w="15" w:type="dxa"/>
              <w:left w:w="108" w:type="dxa"/>
              <w:bottom w:w="0" w:type="dxa"/>
              <w:right w:w="108" w:type="dxa"/>
            </w:tcMar>
          </w:tcPr>
          <w:p>
            <w:pPr>
              <w:jc w:val="center"/>
              <w:rPr>
                <w:rFonts w:hint="eastAsia" w:eastAsia="宋体"/>
                <w:sz w:val="21"/>
                <w:lang w:val="en-US" w:eastAsia="zh-CN"/>
              </w:rPr>
            </w:pPr>
            <w:r>
              <w:rPr>
                <w:rFonts w:hint="eastAsia"/>
                <w:sz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eastAsia="等线"/>
                <w:sz w:val="21"/>
              </w:rPr>
              <w:t>1</w:t>
            </w:r>
          </w:p>
        </w:tc>
        <w:tc>
          <w:tcPr>
            <w:tcW w:w="7518" w:type="dxa"/>
            <w:gridSpan w:val="3"/>
            <w:vAlign w:val="center"/>
          </w:tcPr>
          <w:p>
            <w:pPr>
              <w:jc w:val="left"/>
              <w:rPr>
                <w:rFonts w:eastAsia="等线"/>
                <w:sz w:val="21"/>
              </w:rPr>
            </w:pPr>
            <w:r>
              <w:rPr>
                <w:sz w:val="21"/>
              </w:rPr>
              <w:t>Inaccuracy caused by downlink/uplink frame timing alignment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1.1</w:t>
            </w:r>
          </w:p>
        </w:tc>
        <w:tc>
          <w:tcPr>
            <w:tcW w:w="4861" w:type="dxa"/>
            <w:vAlign w:val="center"/>
          </w:tcPr>
          <w:p>
            <w:pPr>
              <w:rPr>
                <w:rFonts w:eastAsia="等线"/>
                <w:sz w:val="21"/>
              </w:rPr>
            </w:pPr>
            <w:r>
              <w:rPr>
                <w:rFonts w:eastAsia="等线"/>
                <w:sz w:val="21"/>
              </w:rPr>
              <w:t xml:space="preserve">Time alignment error of gNB transmitter </w:t>
            </w:r>
            <w:r>
              <w:t>(TE</w:t>
            </w:r>
            <w:r>
              <w:rPr>
                <w:vertAlign w:val="subscript"/>
              </w:rPr>
              <w:t>TAE</w:t>
            </w:r>
            <w:r>
              <w:t>)</w:t>
            </w:r>
          </w:p>
        </w:tc>
        <w:tc>
          <w:tcPr>
            <w:tcW w:w="1312" w:type="dxa"/>
            <w:shd w:val="clear" w:color="auto" w:fill="auto"/>
            <w:tcMar>
              <w:top w:w="15" w:type="dxa"/>
              <w:left w:w="108" w:type="dxa"/>
              <w:bottom w:w="0" w:type="dxa"/>
              <w:right w:w="108" w:type="dxa"/>
            </w:tcMar>
          </w:tcPr>
          <w:p>
            <w:pPr>
              <w:jc w:val="center"/>
              <w:rPr>
                <w:sz w:val="21"/>
              </w:rPr>
            </w:pPr>
            <w:r>
              <w:rPr>
                <w:color w:val="000000" w:themeColor="text1"/>
                <w:kern w:val="24"/>
                <w:sz w:val="21"/>
                <w14:textFill>
                  <w14:solidFill>
                    <w14:schemeClr w14:val="tx1"/>
                  </w14:solidFill>
                </w14:textFill>
              </w:rPr>
              <w:t>65</w:t>
            </w:r>
          </w:p>
        </w:tc>
        <w:tc>
          <w:tcPr>
            <w:tcW w:w="1345" w:type="dxa"/>
            <w:shd w:val="clear" w:color="auto" w:fill="auto"/>
            <w:tcMar>
              <w:top w:w="15" w:type="dxa"/>
              <w:left w:w="108" w:type="dxa"/>
              <w:bottom w:w="0" w:type="dxa"/>
              <w:right w:w="108" w:type="dxa"/>
            </w:tcMar>
          </w:tcPr>
          <w:p>
            <w:pPr>
              <w:jc w:val="center"/>
              <w:rPr>
                <w:sz w:val="21"/>
              </w:rPr>
            </w:pPr>
            <w:r>
              <w:rPr>
                <w:color w:val="000000" w:themeColor="text1"/>
                <w:kern w:val="24"/>
                <w:sz w:val="21"/>
                <w14:textFill>
                  <w14:solidFill>
                    <w14:schemeClr w14:val="tx1"/>
                  </w14:solidFill>
                </w14:textFill>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1.2</w:t>
            </w:r>
          </w:p>
        </w:tc>
        <w:tc>
          <w:tcPr>
            <w:tcW w:w="4861" w:type="dxa"/>
            <w:vAlign w:val="center"/>
          </w:tcPr>
          <w:p>
            <w:pPr>
              <w:rPr>
                <w:rFonts w:eastAsia="等线"/>
                <w:sz w:val="21"/>
              </w:rPr>
            </w:pPr>
            <w:r>
              <w:rPr>
                <w:rFonts w:eastAsia="等线"/>
                <w:sz w:val="21"/>
              </w:rPr>
              <w:t xml:space="preserve">Inaccuracy caused by UE detection </w:t>
            </w:r>
            <w:r>
              <w:rPr>
                <w:szCs w:val="22"/>
              </w:rPr>
              <w:t>(TE</w:t>
            </w:r>
            <w:r>
              <w:rPr>
                <w:szCs w:val="22"/>
                <w:vertAlign w:val="subscript"/>
              </w:rPr>
              <w:t>UE-DL-RX</w:t>
            </w:r>
            <w:r>
              <w:rPr>
                <w:szCs w:val="22"/>
              </w:rPr>
              <w:t>)</w:t>
            </w:r>
          </w:p>
        </w:tc>
        <w:tc>
          <w:tcPr>
            <w:tcW w:w="1312" w:type="dxa"/>
            <w:shd w:val="clear" w:color="auto" w:fill="auto"/>
            <w:tcMar>
              <w:top w:w="15" w:type="dxa"/>
              <w:left w:w="108" w:type="dxa"/>
              <w:bottom w:w="0" w:type="dxa"/>
              <w:right w:w="108" w:type="dxa"/>
            </w:tcMar>
          </w:tcPr>
          <w:p>
            <w:pPr>
              <w:jc w:val="center"/>
              <w:rPr>
                <w:sz w:val="21"/>
              </w:rPr>
            </w:pPr>
            <w:r>
              <w:rPr>
                <w:rFonts w:hint="eastAsia"/>
                <w:color w:val="000000" w:themeColor="text1"/>
                <w:kern w:val="24"/>
                <w:sz w:val="21"/>
                <w:lang w:eastAsia="ja-JP"/>
                <w14:textFill>
                  <w14:solidFill>
                    <w14:schemeClr w14:val="tx1"/>
                  </w14:solidFill>
                </w14:textFill>
              </w:rPr>
              <w:t>26</w:t>
            </w:r>
            <w:r>
              <w:rPr>
                <w:color w:val="000000" w:themeColor="text1"/>
                <w:kern w:val="24"/>
                <w:sz w:val="21"/>
                <w:lang w:eastAsia="ja-JP"/>
                <w14:textFill>
                  <w14:solidFill>
                    <w14:schemeClr w14:val="tx1"/>
                  </w14:solidFill>
                </w14:textFill>
              </w:rPr>
              <w:t>0</w:t>
            </w:r>
          </w:p>
        </w:tc>
        <w:tc>
          <w:tcPr>
            <w:tcW w:w="1345" w:type="dxa"/>
            <w:shd w:val="clear" w:color="auto" w:fill="auto"/>
            <w:tcMar>
              <w:top w:w="15" w:type="dxa"/>
              <w:left w:w="108" w:type="dxa"/>
              <w:bottom w:w="0" w:type="dxa"/>
              <w:right w:w="108" w:type="dxa"/>
            </w:tcMar>
          </w:tcPr>
          <w:p>
            <w:pPr>
              <w:jc w:val="center"/>
              <w:rPr>
                <w:sz w:val="21"/>
              </w:rPr>
            </w:pPr>
            <w:r>
              <w:rPr>
                <w:rFonts w:hint="eastAsia"/>
                <w:color w:val="000000" w:themeColor="text1"/>
                <w:kern w:val="24"/>
                <w:sz w:val="21"/>
                <w:lang w:eastAsia="ja-JP"/>
                <w14:textFill>
                  <w14:solidFill>
                    <w14:schemeClr w14:val="tx1"/>
                  </w14:solidFill>
                </w14:textFill>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1.3</w:t>
            </w:r>
          </w:p>
        </w:tc>
        <w:tc>
          <w:tcPr>
            <w:tcW w:w="4861" w:type="dxa"/>
            <w:vAlign w:val="center"/>
          </w:tcPr>
          <w:p>
            <w:pPr>
              <w:rPr>
                <w:rFonts w:eastAsia="等线"/>
                <w:sz w:val="21"/>
              </w:rPr>
            </w:pPr>
            <w:r>
              <w:rPr>
                <w:rFonts w:eastAsia="等线"/>
                <w:sz w:val="21"/>
              </w:rPr>
              <w:t>I</w:t>
            </w:r>
            <w:r>
              <w:rPr>
                <w:rFonts w:hint="eastAsia" w:eastAsia="等线"/>
                <w:sz w:val="21"/>
              </w:rPr>
              <w:t>naccuracy caused by propagation delay</w:t>
            </w:r>
            <w:r>
              <w:rPr>
                <w:rFonts w:eastAsia="等线"/>
                <w:sz w:val="21"/>
              </w:rPr>
              <w:t xml:space="preserve"> when propagation delay is decided from TA. (1.3.1+1.3.2+1.3.3)/2</w:t>
            </w:r>
          </w:p>
        </w:tc>
        <w:tc>
          <w:tcPr>
            <w:tcW w:w="1312" w:type="dxa"/>
            <w:shd w:val="clear" w:color="auto" w:fill="auto"/>
            <w:tcMar>
              <w:top w:w="15" w:type="dxa"/>
              <w:left w:w="108" w:type="dxa"/>
              <w:bottom w:w="0" w:type="dxa"/>
              <w:right w:w="108" w:type="dxa"/>
            </w:tcMar>
          </w:tcPr>
          <w:p>
            <w:pPr>
              <w:jc w:val="center"/>
              <w:rPr>
                <w:rFonts w:eastAsia="等线"/>
                <w:sz w:val="21"/>
              </w:rPr>
            </w:pPr>
            <w:r>
              <w:rPr>
                <w:rFonts w:eastAsiaTheme="minorEastAsia"/>
                <w:sz w:val="21"/>
                <w:lang w:eastAsia="ja-JP"/>
              </w:rPr>
              <w:t>375</w:t>
            </w:r>
          </w:p>
        </w:tc>
        <w:tc>
          <w:tcPr>
            <w:tcW w:w="1345" w:type="dxa"/>
            <w:shd w:val="clear" w:color="auto" w:fill="auto"/>
            <w:tcMar>
              <w:top w:w="15" w:type="dxa"/>
              <w:left w:w="108" w:type="dxa"/>
              <w:bottom w:w="0" w:type="dxa"/>
              <w:right w:w="108" w:type="dxa"/>
            </w:tcMar>
          </w:tcPr>
          <w:p>
            <w:pPr>
              <w:jc w:val="center"/>
              <w:rPr>
                <w:rFonts w:eastAsia="等线"/>
                <w:sz w:val="21"/>
              </w:rPr>
            </w:pPr>
            <w:r>
              <w:rPr>
                <w:rFonts w:eastAsia="等线"/>
                <w:sz w:val="21"/>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1.3.1</w:t>
            </w:r>
          </w:p>
        </w:tc>
        <w:tc>
          <w:tcPr>
            <w:tcW w:w="4861" w:type="dxa"/>
            <w:vAlign w:val="center"/>
          </w:tcPr>
          <w:p>
            <w:pPr>
              <w:rPr>
                <w:rFonts w:eastAsia="等线"/>
                <w:sz w:val="21"/>
              </w:rPr>
            </w:pPr>
            <w:r>
              <w:rPr>
                <w:rFonts w:hint="eastAsia" w:eastAsia="等线"/>
                <w:sz w:val="21"/>
              </w:rPr>
              <w:t>I</w:t>
            </w:r>
            <w:r>
              <w:rPr>
                <w:rFonts w:eastAsia="等线"/>
                <w:sz w:val="21"/>
              </w:rPr>
              <w:t xml:space="preserve">naccuracy of UE transmitting </w:t>
            </w:r>
            <w:r>
              <w:t>(TE</w:t>
            </w:r>
            <w:r>
              <w:rPr>
                <w:vertAlign w:val="subscript"/>
              </w:rPr>
              <w:t>UE-DL-to-TX</w:t>
            </w:r>
            <w:r>
              <w:t>)</w:t>
            </w:r>
          </w:p>
        </w:tc>
        <w:tc>
          <w:tcPr>
            <w:tcW w:w="1312" w:type="dxa"/>
            <w:shd w:val="clear" w:color="auto" w:fill="auto"/>
            <w:tcMar>
              <w:top w:w="15" w:type="dxa"/>
              <w:left w:w="108" w:type="dxa"/>
              <w:bottom w:w="0" w:type="dxa"/>
              <w:right w:w="108" w:type="dxa"/>
            </w:tcMar>
          </w:tcPr>
          <w:p>
            <w:pPr>
              <w:jc w:val="center"/>
              <w:rPr>
                <w:color w:val="000000" w:themeColor="text1"/>
                <w:kern w:val="24"/>
                <w:sz w:val="21"/>
                <w14:textFill>
                  <w14:solidFill>
                    <w14:schemeClr w14:val="tx1"/>
                  </w14:solidFill>
                </w14:textFill>
              </w:rPr>
            </w:pPr>
            <w:r>
              <w:rPr>
                <w:color w:val="000000" w:themeColor="text1"/>
                <w:kern w:val="24"/>
                <w:sz w:val="21"/>
                <w14:textFill>
                  <w14:solidFill>
                    <w14:schemeClr w14:val="tx1"/>
                  </w14:solidFill>
                </w14:textFill>
              </w:rPr>
              <w:t>390</w:t>
            </w:r>
          </w:p>
        </w:tc>
        <w:tc>
          <w:tcPr>
            <w:tcW w:w="1345" w:type="dxa"/>
            <w:shd w:val="clear" w:color="auto" w:fill="auto"/>
            <w:tcMar>
              <w:top w:w="15" w:type="dxa"/>
              <w:left w:w="108" w:type="dxa"/>
              <w:bottom w:w="0" w:type="dxa"/>
              <w:right w:w="108" w:type="dxa"/>
            </w:tcMar>
          </w:tcPr>
          <w:p>
            <w:pPr>
              <w:jc w:val="center"/>
              <w:rPr>
                <w:color w:val="000000" w:themeColor="text1"/>
                <w:kern w:val="24"/>
                <w:sz w:val="21"/>
                <w14:textFill>
                  <w14:solidFill>
                    <w14:schemeClr w14:val="tx1"/>
                  </w14:solidFill>
                </w14:textFill>
              </w:rPr>
            </w:pPr>
            <w:r>
              <w:rPr>
                <w:color w:val="000000" w:themeColor="text1"/>
                <w:kern w:val="24"/>
                <w:sz w:val="21"/>
                <w14:textFill>
                  <w14:solidFill>
                    <w14:schemeClr w14:val="tx1"/>
                  </w14:solidFill>
                </w14:textFill>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1.3.2</w:t>
            </w:r>
          </w:p>
        </w:tc>
        <w:tc>
          <w:tcPr>
            <w:tcW w:w="4861" w:type="dxa"/>
            <w:vAlign w:val="center"/>
          </w:tcPr>
          <w:p>
            <w:pPr>
              <w:rPr>
                <w:rFonts w:eastAsia="等线"/>
                <w:sz w:val="21"/>
              </w:rPr>
            </w:pPr>
            <w:r>
              <w:rPr>
                <w:rFonts w:hint="eastAsia" w:eastAsia="等线"/>
                <w:sz w:val="21"/>
              </w:rPr>
              <w:t>Inaccuracy of gNB detection</w:t>
            </w:r>
            <w:r>
              <w:rPr>
                <w:rFonts w:eastAsia="等线"/>
                <w:sz w:val="21"/>
              </w:rPr>
              <w:t xml:space="preserve"> </w:t>
            </w:r>
            <w:r>
              <w:t>(TE</w:t>
            </w:r>
            <w:r>
              <w:rPr>
                <w:vertAlign w:val="subscript"/>
              </w:rPr>
              <w:t>UL-RX</w:t>
            </w:r>
            <w:r>
              <w:t>)</w:t>
            </w:r>
          </w:p>
        </w:tc>
        <w:tc>
          <w:tcPr>
            <w:tcW w:w="1312" w:type="dxa"/>
            <w:shd w:val="clear" w:color="auto" w:fill="auto"/>
            <w:tcMar>
              <w:top w:w="15" w:type="dxa"/>
              <w:left w:w="108" w:type="dxa"/>
              <w:bottom w:w="0" w:type="dxa"/>
              <w:right w:w="108" w:type="dxa"/>
            </w:tcMar>
          </w:tcPr>
          <w:p>
            <w:pPr>
              <w:jc w:val="center"/>
              <w:rPr>
                <w:color w:val="000000" w:themeColor="text1"/>
                <w:kern w:val="24"/>
                <w:sz w:val="21"/>
                <w14:textFill>
                  <w14:solidFill>
                    <w14:schemeClr w14:val="tx1"/>
                  </w14:solidFill>
                </w14:textFill>
              </w:rPr>
            </w:pPr>
            <w:r>
              <w:rPr>
                <w:color w:val="000000" w:themeColor="text1"/>
                <w:kern w:val="24"/>
                <w:sz w:val="21"/>
                <w14:textFill>
                  <w14:solidFill>
                    <w14:schemeClr w14:val="tx1"/>
                  </w14:solidFill>
                </w14:textFill>
              </w:rPr>
              <w:t>100</w:t>
            </w:r>
          </w:p>
        </w:tc>
        <w:tc>
          <w:tcPr>
            <w:tcW w:w="1345" w:type="dxa"/>
            <w:shd w:val="clear" w:color="auto" w:fill="auto"/>
            <w:tcMar>
              <w:top w:w="15" w:type="dxa"/>
              <w:left w:w="108" w:type="dxa"/>
              <w:bottom w:w="0" w:type="dxa"/>
              <w:right w:w="108" w:type="dxa"/>
            </w:tcMar>
          </w:tcPr>
          <w:p>
            <w:pPr>
              <w:jc w:val="center"/>
              <w:rPr>
                <w:color w:val="000000" w:themeColor="text1"/>
                <w:kern w:val="24"/>
                <w:sz w:val="21"/>
                <w14:textFill>
                  <w14:solidFill>
                    <w14:schemeClr w14:val="tx1"/>
                  </w14:solidFill>
                </w14:textFill>
              </w:rPr>
            </w:pPr>
            <w:r>
              <w:rPr>
                <w:color w:val="000000" w:themeColor="text1"/>
                <w:kern w:val="24"/>
                <w:sz w:val="21"/>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highlight w:val="none"/>
              </w:rPr>
            </w:pPr>
            <w:r>
              <w:rPr>
                <w:rFonts w:hint="eastAsia" w:eastAsia="等线"/>
                <w:sz w:val="21"/>
                <w:highlight w:val="none"/>
              </w:rPr>
              <w:t>1.3.3</w:t>
            </w:r>
          </w:p>
        </w:tc>
        <w:tc>
          <w:tcPr>
            <w:tcW w:w="4861" w:type="dxa"/>
            <w:vAlign w:val="center"/>
          </w:tcPr>
          <w:p>
            <w:pPr>
              <w:rPr>
                <w:rFonts w:eastAsia="等线"/>
                <w:sz w:val="21"/>
                <w:highlight w:val="none"/>
              </w:rPr>
            </w:pPr>
            <w:r>
              <w:rPr>
                <w:rFonts w:hint="eastAsia" w:eastAsia="等线"/>
                <w:sz w:val="21"/>
                <w:highlight w:val="none"/>
              </w:rPr>
              <w:t>Inaccuracy caused by TA indication</w:t>
            </w:r>
            <w:r>
              <w:rPr>
                <w:rFonts w:eastAsia="等线"/>
                <w:sz w:val="21"/>
                <w:highlight w:val="none"/>
              </w:rPr>
              <w:t xml:space="preserve"> </w:t>
            </w:r>
            <w:r>
              <w:rPr>
                <w:highlight w:val="none"/>
              </w:rPr>
              <w:t>(TE</w:t>
            </w:r>
            <w:r>
              <w:rPr>
                <w:highlight w:val="none"/>
                <w:vertAlign w:val="subscript"/>
              </w:rPr>
              <w:t>TA-G</w:t>
            </w:r>
            <w:r>
              <w:rPr>
                <w:highlight w:val="none"/>
              </w:rPr>
              <w:t>)</w:t>
            </w:r>
          </w:p>
        </w:tc>
        <w:tc>
          <w:tcPr>
            <w:tcW w:w="1312" w:type="dxa"/>
            <w:shd w:val="clear" w:color="auto" w:fill="auto"/>
            <w:tcMar>
              <w:top w:w="15" w:type="dxa"/>
              <w:left w:w="108" w:type="dxa"/>
              <w:bottom w:w="0" w:type="dxa"/>
              <w:right w:w="108" w:type="dxa"/>
            </w:tcMar>
          </w:tcPr>
          <w:p>
            <w:pPr>
              <w:jc w:val="center"/>
              <w:rPr>
                <w:color w:val="000000" w:themeColor="text1"/>
                <w:kern w:val="24"/>
                <w:sz w:val="21"/>
                <w:highlight w:val="none"/>
                <w14:textFill>
                  <w14:solidFill>
                    <w14:schemeClr w14:val="tx1"/>
                  </w14:solidFill>
                </w14:textFill>
              </w:rPr>
            </w:pPr>
            <w:r>
              <w:rPr>
                <w:rFonts w:eastAsia="等线"/>
                <w:sz w:val="21"/>
                <w:highlight w:val="none"/>
                <w:lang w:val="en-US"/>
              </w:rPr>
              <w:t>260</w:t>
            </w:r>
          </w:p>
        </w:tc>
        <w:tc>
          <w:tcPr>
            <w:tcW w:w="1345" w:type="dxa"/>
            <w:shd w:val="clear" w:color="auto" w:fill="auto"/>
            <w:tcMar>
              <w:top w:w="15" w:type="dxa"/>
              <w:left w:w="108" w:type="dxa"/>
              <w:bottom w:w="0" w:type="dxa"/>
              <w:right w:w="108" w:type="dxa"/>
            </w:tcMar>
          </w:tcPr>
          <w:p>
            <w:pPr>
              <w:jc w:val="center"/>
              <w:rPr>
                <w:color w:val="000000" w:themeColor="text1"/>
                <w:kern w:val="24"/>
                <w:sz w:val="21"/>
                <w:highlight w:val="none"/>
                <w14:textFill>
                  <w14:solidFill>
                    <w14:schemeClr w14:val="tx1"/>
                  </w14:solidFill>
                </w14:textFill>
              </w:rPr>
            </w:pPr>
            <w:r>
              <w:rPr>
                <w:rFonts w:eastAsia="等线"/>
                <w:sz w:val="21"/>
                <w:highlight w:val="none"/>
                <w:lang w:val="en-US"/>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highlight w:val="none"/>
              </w:rPr>
            </w:pPr>
            <w:r>
              <w:rPr>
                <w:rFonts w:hint="eastAsia" w:eastAsia="等线"/>
                <w:sz w:val="21"/>
                <w:highlight w:val="none"/>
              </w:rPr>
              <w:t>1.4</w:t>
            </w:r>
          </w:p>
        </w:tc>
        <w:tc>
          <w:tcPr>
            <w:tcW w:w="4861" w:type="dxa"/>
            <w:vAlign w:val="center"/>
          </w:tcPr>
          <w:p>
            <w:pPr>
              <w:rPr>
                <w:rFonts w:eastAsia="等线"/>
                <w:sz w:val="21"/>
                <w:highlight w:val="none"/>
              </w:rPr>
            </w:pPr>
            <w:r>
              <w:rPr>
                <w:rFonts w:eastAsia="等线"/>
                <w:sz w:val="21"/>
                <w:highlight w:val="none"/>
              </w:rPr>
              <w:t>I</w:t>
            </w:r>
            <w:r>
              <w:rPr>
                <w:rFonts w:hint="eastAsia" w:eastAsia="等线"/>
                <w:sz w:val="21"/>
                <w:highlight w:val="none"/>
              </w:rPr>
              <w:t>naccuracy caused by propagation delay</w:t>
            </w:r>
            <w:r>
              <w:rPr>
                <w:rFonts w:eastAsia="等线"/>
                <w:sz w:val="21"/>
                <w:highlight w:val="none"/>
              </w:rPr>
              <w:t xml:space="preserve"> when c</w:t>
            </w:r>
            <w:r>
              <w:rPr>
                <w:sz w:val="21"/>
                <w:highlight w:val="none"/>
              </w:rPr>
              <w:t xml:space="preserve">onsidering </w:t>
            </w:r>
            <w:r>
              <w:rPr>
                <w:sz w:val="21"/>
                <w:szCs w:val="18"/>
                <w:highlight w:val="none"/>
              </w:rPr>
              <w:t>1000 m x 100 m</w:t>
            </w:r>
            <w:r>
              <w:rPr>
                <w:sz w:val="21"/>
                <w:highlight w:val="none"/>
              </w:rPr>
              <w:t xml:space="preserve"> service area </w:t>
            </w:r>
            <w:r>
              <w:rPr>
                <w:szCs w:val="22"/>
                <w:highlight w:val="none"/>
              </w:rPr>
              <w:t>(</w:t>
            </w:r>
            <w:r>
              <w:rPr>
                <w:iCs/>
                <w:szCs w:val="22"/>
                <w:highlight w:val="none"/>
              </w:rPr>
              <w:t>TE</w:t>
            </w:r>
            <w:r>
              <w:rPr>
                <w:iCs/>
                <w:szCs w:val="22"/>
                <w:highlight w:val="none"/>
                <w:vertAlign w:val="subscript"/>
              </w:rPr>
              <w:t>PD</w:t>
            </w:r>
            <w:r>
              <w:rPr>
                <w:iCs/>
                <w:szCs w:val="22"/>
                <w:highlight w:val="none"/>
              </w:rPr>
              <w:t>)</w:t>
            </w:r>
          </w:p>
        </w:tc>
        <w:tc>
          <w:tcPr>
            <w:tcW w:w="1312" w:type="dxa"/>
            <w:shd w:val="clear" w:color="auto" w:fill="auto"/>
            <w:tcMar>
              <w:top w:w="15" w:type="dxa"/>
              <w:left w:w="108" w:type="dxa"/>
              <w:bottom w:w="0" w:type="dxa"/>
              <w:right w:w="108" w:type="dxa"/>
            </w:tcMar>
          </w:tcPr>
          <w:p>
            <w:pPr>
              <w:jc w:val="center"/>
              <w:rPr>
                <w:rFonts w:eastAsia="等线"/>
                <w:sz w:val="21"/>
                <w:highlight w:val="none"/>
                <w:lang w:val="en-US"/>
              </w:rPr>
            </w:pPr>
            <w:r>
              <w:rPr>
                <w:rFonts w:hint="eastAsia" w:eastAsia="等线"/>
                <w:sz w:val="21"/>
                <w:highlight w:val="none"/>
                <w:lang w:val="en-US" w:eastAsia="zh-CN"/>
              </w:rPr>
              <w:t>105</w:t>
            </w:r>
          </w:p>
        </w:tc>
        <w:tc>
          <w:tcPr>
            <w:tcW w:w="1345" w:type="dxa"/>
            <w:shd w:val="clear" w:color="auto" w:fill="auto"/>
            <w:tcMar>
              <w:top w:w="15" w:type="dxa"/>
              <w:left w:w="108" w:type="dxa"/>
              <w:bottom w:w="0" w:type="dxa"/>
              <w:right w:w="108" w:type="dxa"/>
            </w:tcMar>
          </w:tcPr>
          <w:p>
            <w:pPr>
              <w:jc w:val="center"/>
              <w:rPr>
                <w:rFonts w:hint="eastAsia" w:eastAsia="等线"/>
                <w:sz w:val="21"/>
                <w:highlight w:val="none"/>
                <w:lang w:val="en-US"/>
              </w:rPr>
            </w:pPr>
            <w:r>
              <w:rPr>
                <w:rFonts w:hint="eastAsia" w:eastAsia="等线"/>
                <w:sz w:val="21"/>
                <w:highlight w:val="none"/>
                <w:lang w:val="en-US" w:eastAsia="zh-CN"/>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2</w:t>
            </w:r>
          </w:p>
        </w:tc>
        <w:tc>
          <w:tcPr>
            <w:tcW w:w="4861" w:type="dxa"/>
            <w:vAlign w:val="center"/>
          </w:tcPr>
          <w:p>
            <w:pPr>
              <w:rPr>
                <w:rFonts w:eastAsia="等线"/>
                <w:sz w:val="21"/>
              </w:rPr>
            </w:pPr>
            <w:r>
              <w:rPr>
                <w:sz w:val="21"/>
              </w:rPr>
              <w:t>Inaccuracy caused by</w:t>
            </w:r>
            <w:r>
              <w:rPr>
                <w:rFonts w:eastAsia="等线"/>
                <w:sz w:val="21"/>
              </w:rPr>
              <w:t xml:space="preserve"> time reference information delivery from gNB to UE (TE</w:t>
            </w:r>
            <w:r>
              <w:rPr>
                <w:rFonts w:eastAsia="等线"/>
                <w:sz w:val="21"/>
                <w:vertAlign w:val="subscript"/>
              </w:rPr>
              <w:t>RT</w:t>
            </w:r>
            <w:r>
              <w:rPr>
                <w:rFonts w:eastAsia="等线"/>
                <w:sz w:val="21"/>
              </w:rPr>
              <w:t>)</w:t>
            </w:r>
          </w:p>
        </w:tc>
        <w:tc>
          <w:tcPr>
            <w:tcW w:w="1312" w:type="dxa"/>
            <w:shd w:val="clear" w:color="auto" w:fill="auto"/>
            <w:tcMar>
              <w:top w:w="15" w:type="dxa"/>
              <w:left w:w="108" w:type="dxa"/>
              <w:bottom w:w="0" w:type="dxa"/>
              <w:right w:w="108" w:type="dxa"/>
            </w:tcMar>
          </w:tcPr>
          <w:p>
            <w:pPr>
              <w:jc w:val="center"/>
              <w:rPr>
                <w:sz w:val="21"/>
              </w:rPr>
            </w:pPr>
            <w:r>
              <w:rPr>
                <w:sz w:val="21"/>
              </w:rPr>
              <w:t>5</w:t>
            </w:r>
          </w:p>
        </w:tc>
        <w:tc>
          <w:tcPr>
            <w:tcW w:w="1345" w:type="dxa"/>
            <w:shd w:val="clear" w:color="auto" w:fill="auto"/>
            <w:tcMar>
              <w:top w:w="15" w:type="dxa"/>
              <w:left w:w="108" w:type="dxa"/>
              <w:bottom w:w="0" w:type="dxa"/>
              <w:right w:w="108" w:type="dxa"/>
            </w:tcMar>
          </w:tcPr>
          <w:p>
            <w:pPr>
              <w:jc w:val="center"/>
              <w:rPr>
                <w:sz w:val="21"/>
              </w:rPr>
            </w:pPr>
            <w:r>
              <w:rPr>
                <w:sz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eastAsia="等线"/>
                <w:sz w:val="21"/>
              </w:rPr>
            </w:pPr>
            <w:r>
              <w:rPr>
                <w:rFonts w:hint="eastAsia" w:eastAsia="等线"/>
                <w:sz w:val="21"/>
              </w:rPr>
              <w:t>3</w:t>
            </w:r>
          </w:p>
          <w:p>
            <w:pPr>
              <w:jc w:val="center"/>
              <w:rPr>
                <w:rFonts w:eastAsia="等线"/>
                <w:sz w:val="21"/>
              </w:rPr>
            </w:pPr>
          </w:p>
        </w:tc>
        <w:tc>
          <w:tcPr>
            <w:tcW w:w="4861" w:type="dxa"/>
            <w:vAlign w:val="center"/>
          </w:tcPr>
          <w:p>
            <w:pPr>
              <w:rPr>
                <w:rFonts w:hint="eastAsia" w:eastAsia="等线"/>
                <w:sz w:val="21"/>
                <w:lang w:val="en-US" w:eastAsia="zh-CN"/>
              </w:rPr>
            </w:pPr>
            <w:r>
              <w:rPr>
                <w:rFonts w:eastAsia="等线"/>
                <w:sz w:val="21"/>
              </w:rPr>
              <w:t xml:space="preserve">Inaccuracy caused by the synchronisation between the gNB and </w:t>
            </w:r>
            <w:r>
              <w:rPr>
                <w:rFonts w:hint="eastAsia" w:eastAsia="等线"/>
                <w:sz w:val="21"/>
                <w:lang w:val="en-US" w:eastAsia="zh-CN"/>
              </w:rPr>
              <w:t>5G GM</w:t>
            </w:r>
          </w:p>
        </w:tc>
        <w:tc>
          <w:tcPr>
            <w:tcW w:w="1312" w:type="dxa"/>
            <w:shd w:val="clear" w:color="auto" w:fill="auto"/>
            <w:tcMar>
              <w:top w:w="15" w:type="dxa"/>
              <w:left w:w="108" w:type="dxa"/>
              <w:bottom w:w="0" w:type="dxa"/>
              <w:right w:w="108" w:type="dxa"/>
            </w:tcMar>
          </w:tcPr>
          <w:p>
            <w:pPr>
              <w:jc w:val="center"/>
              <w:rPr>
                <w:rFonts w:hint="eastAsia" w:eastAsia="宋体"/>
                <w:sz w:val="21"/>
                <w:lang w:val="en-US" w:eastAsia="zh-CN"/>
              </w:rPr>
            </w:pPr>
            <w:r>
              <w:rPr>
                <w:sz w:val="21"/>
              </w:rPr>
              <w:t>1</w:t>
            </w:r>
            <w:r>
              <w:rPr>
                <w:rFonts w:hint="eastAsia"/>
                <w:sz w:val="21"/>
                <w:lang w:val="en-US" w:eastAsia="zh-CN"/>
              </w:rPr>
              <w:t>60</w:t>
            </w:r>
          </w:p>
        </w:tc>
        <w:tc>
          <w:tcPr>
            <w:tcW w:w="1345" w:type="dxa"/>
            <w:shd w:val="clear" w:color="auto" w:fill="auto"/>
            <w:tcMar>
              <w:top w:w="15" w:type="dxa"/>
              <w:left w:w="108" w:type="dxa"/>
              <w:bottom w:w="0" w:type="dxa"/>
              <w:right w:w="108" w:type="dxa"/>
            </w:tcMar>
          </w:tcPr>
          <w:p>
            <w:pPr>
              <w:jc w:val="center"/>
              <w:rPr>
                <w:rFonts w:hint="eastAsia" w:eastAsia="宋体"/>
                <w:sz w:val="21"/>
                <w:lang w:val="en-US" w:eastAsia="zh-CN"/>
              </w:rPr>
            </w:pPr>
            <w:r>
              <w:rPr>
                <w:sz w:val="21"/>
              </w:rPr>
              <w:t>1</w:t>
            </w:r>
            <w:r>
              <w:rPr>
                <w:rFonts w:hint="eastAsia"/>
                <w:sz w:val="21"/>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hint="eastAsia" w:eastAsia="等线"/>
                <w:sz w:val="21"/>
                <w:lang w:val="en-US" w:eastAsia="zh-CN"/>
              </w:rPr>
            </w:pPr>
            <w:r>
              <w:rPr>
                <w:rFonts w:hint="eastAsia" w:eastAsia="等线"/>
                <w:sz w:val="21"/>
                <w:lang w:val="en-US" w:eastAsia="zh-CN"/>
              </w:rPr>
              <w:t>4</w:t>
            </w:r>
          </w:p>
        </w:tc>
        <w:tc>
          <w:tcPr>
            <w:tcW w:w="4861" w:type="dxa"/>
            <w:vAlign w:val="center"/>
          </w:tcPr>
          <w:p>
            <w:pPr>
              <w:rPr>
                <w:rFonts w:eastAsia="等线"/>
                <w:sz w:val="21"/>
              </w:rPr>
            </w:pPr>
            <w:r>
              <w:rPr>
                <w:rFonts w:eastAsia="等线"/>
                <w:sz w:val="21"/>
              </w:rPr>
              <w:t>Inaccuracy caused by</w:t>
            </w:r>
            <w:r>
              <w:rPr>
                <w:rFonts w:hint="eastAsia" w:eastAsia="等线"/>
                <w:sz w:val="21"/>
                <w:lang w:val="en-US" w:eastAsia="zh-CN"/>
              </w:rPr>
              <w:t xml:space="preserve"> the synchronization between the UE and the DS-TT</w:t>
            </w:r>
          </w:p>
        </w:tc>
        <w:tc>
          <w:tcPr>
            <w:tcW w:w="1312" w:type="dxa"/>
            <w:shd w:val="clear" w:color="auto" w:fill="auto"/>
            <w:tcMar>
              <w:top w:w="15" w:type="dxa"/>
              <w:left w:w="108" w:type="dxa"/>
              <w:bottom w:w="0" w:type="dxa"/>
              <w:right w:w="108" w:type="dxa"/>
            </w:tcMar>
          </w:tcPr>
          <w:p>
            <w:pPr>
              <w:jc w:val="center"/>
              <w:rPr>
                <w:sz w:val="21"/>
              </w:rPr>
            </w:pPr>
            <w:r>
              <w:rPr>
                <w:rFonts w:hint="eastAsia"/>
                <w:sz w:val="21"/>
                <w:lang w:val="en-US" w:eastAsia="zh-CN"/>
              </w:rPr>
              <w:t>50</w:t>
            </w:r>
          </w:p>
        </w:tc>
        <w:tc>
          <w:tcPr>
            <w:tcW w:w="1345" w:type="dxa"/>
            <w:shd w:val="clear" w:color="auto" w:fill="auto"/>
            <w:tcMar>
              <w:top w:w="15" w:type="dxa"/>
              <w:left w:w="108" w:type="dxa"/>
              <w:bottom w:w="0" w:type="dxa"/>
              <w:right w:w="108" w:type="dxa"/>
            </w:tcMar>
          </w:tcPr>
          <w:p>
            <w:pPr>
              <w:jc w:val="center"/>
              <w:rPr>
                <w:sz w:val="21"/>
              </w:rPr>
            </w:pPr>
            <w:r>
              <w:rPr>
                <w:rFonts w:hint="eastAsia"/>
                <w:sz w:val="21"/>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hint="eastAsia" w:eastAsia="等线"/>
                <w:sz w:val="21"/>
                <w:highlight w:val="none"/>
                <w:lang w:val="en-US" w:eastAsia="zh-CN"/>
              </w:rPr>
            </w:pPr>
            <w:r>
              <w:rPr>
                <w:rFonts w:eastAsia="等线"/>
                <w:sz w:val="21"/>
                <w:highlight w:val="none"/>
              </w:rPr>
              <w:t>Total error</w:t>
            </w:r>
            <w:r>
              <w:rPr>
                <w:rFonts w:hint="eastAsia" w:eastAsia="等线"/>
                <w:sz w:val="21"/>
                <w:highlight w:val="none"/>
                <w:lang w:val="en-US" w:eastAsia="zh-CN"/>
              </w:rPr>
              <w:t xml:space="preserve"> over Uu</w:t>
            </w:r>
          </w:p>
        </w:tc>
        <w:tc>
          <w:tcPr>
            <w:tcW w:w="4861" w:type="dxa"/>
            <w:vAlign w:val="center"/>
          </w:tcPr>
          <w:p>
            <w:pPr>
              <w:rPr>
                <w:rFonts w:eastAsia="等线"/>
                <w:sz w:val="21"/>
                <w:highlight w:val="none"/>
              </w:rPr>
            </w:pPr>
            <w:r>
              <w:rPr>
                <w:rFonts w:hint="eastAsia" w:eastAsia="等线"/>
                <w:sz w:val="21"/>
                <w:highlight w:val="none"/>
              </w:rPr>
              <w:t>Total inaccuracy</w:t>
            </w:r>
            <w:r>
              <w:rPr>
                <w:rFonts w:hint="eastAsia" w:eastAsia="等线"/>
                <w:sz w:val="21"/>
                <w:highlight w:val="none"/>
                <w:lang w:val="en-US" w:eastAsia="zh-CN"/>
              </w:rPr>
              <w:t xml:space="preserve"> over Uu</w:t>
            </w:r>
            <w:r>
              <w:rPr>
                <w:rFonts w:hint="eastAsia" w:eastAsia="等线"/>
                <w:sz w:val="21"/>
                <w:highlight w:val="none"/>
              </w:rPr>
              <w:t xml:space="preserve"> </w:t>
            </w:r>
            <w:r>
              <w:rPr>
                <w:rFonts w:eastAsia="等线"/>
                <w:sz w:val="21"/>
                <w:highlight w:val="none"/>
              </w:rPr>
              <w:t xml:space="preserve">for </w:t>
            </w:r>
            <w:r>
              <w:rPr>
                <w:sz w:val="21"/>
                <w:szCs w:val="18"/>
                <w:highlight w:val="none"/>
              </w:rPr>
              <w:t>1000 m x 100 m</w:t>
            </w:r>
            <w:r>
              <w:rPr>
                <w:rFonts w:eastAsia="等线"/>
                <w:sz w:val="21"/>
                <w:highlight w:val="none"/>
              </w:rPr>
              <w:t xml:space="preserve"> service area (with propagation compensation) </w:t>
            </w:r>
            <w:r>
              <w:rPr>
                <w:rFonts w:hint="eastAsia" w:eastAsia="等线"/>
                <w:sz w:val="21"/>
                <w:highlight w:val="none"/>
              </w:rPr>
              <w:t>=</w:t>
            </w:r>
            <w:r>
              <w:rPr>
                <w:rFonts w:eastAsia="等线"/>
                <w:sz w:val="21"/>
                <w:highlight w:val="none"/>
              </w:rPr>
              <w:t xml:space="preserve"> (2*(1.1+1.2+1.3+2))</w:t>
            </w:r>
          </w:p>
        </w:tc>
        <w:tc>
          <w:tcPr>
            <w:tcW w:w="1312" w:type="dxa"/>
            <w:shd w:val="clear" w:color="auto" w:fill="auto"/>
            <w:tcMar>
              <w:top w:w="15" w:type="dxa"/>
              <w:left w:w="108" w:type="dxa"/>
              <w:bottom w:w="0" w:type="dxa"/>
              <w:right w:w="108" w:type="dxa"/>
            </w:tcMar>
          </w:tcPr>
          <w:p>
            <w:pPr>
              <w:jc w:val="center"/>
              <w:rPr>
                <w:rFonts w:hint="eastAsia"/>
                <w:sz w:val="21"/>
                <w:highlight w:val="none"/>
                <w:lang w:val="en-US" w:eastAsia="zh-CN"/>
              </w:rPr>
            </w:pPr>
            <w:r>
              <w:rPr>
                <w:rFonts w:hint="eastAsia"/>
                <w:sz w:val="21"/>
                <w:highlight w:val="none"/>
                <w:lang w:val="en-US" w:eastAsia="zh-CN"/>
              </w:rPr>
              <w:t>1410</w:t>
            </w:r>
          </w:p>
        </w:tc>
        <w:tc>
          <w:tcPr>
            <w:tcW w:w="1345" w:type="dxa"/>
            <w:shd w:val="clear" w:color="auto" w:fill="auto"/>
            <w:tcMar>
              <w:top w:w="15" w:type="dxa"/>
              <w:left w:w="108" w:type="dxa"/>
              <w:bottom w:w="0" w:type="dxa"/>
              <w:right w:w="108" w:type="dxa"/>
            </w:tcMar>
          </w:tcPr>
          <w:p>
            <w:pPr>
              <w:jc w:val="center"/>
              <w:rPr>
                <w:rFonts w:hint="eastAsia"/>
                <w:sz w:val="21"/>
                <w:highlight w:val="none"/>
                <w:lang w:val="en-US" w:eastAsia="zh-CN"/>
              </w:rPr>
            </w:pPr>
            <w:r>
              <w:rPr>
                <w:rFonts w:hint="eastAsia"/>
                <w:sz w:val="21"/>
                <w:highlight w:val="none"/>
                <w:lang w:val="en-US" w:eastAsia="zh-CN"/>
              </w:rPr>
              <w:t>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20" w:hRule="atLeast"/>
          <w:jc w:val="center"/>
        </w:trPr>
        <w:tc>
          <w:tcPr>
            <w:tcW w:w="2116" w:type="dxa"/>
          </w:tcPr>
          <w:p>
            <w:pPr>
              <w:jc w:val="center"/>
              <w:rPr>
                <w:rFonts w:hint="eastAsia" w:eastAsia="等线"/>
                <w:sz w:val="21"/>
                <w:highlight w:val="yellow"/>
                <w:lang w:val="en-US" w:eastAsia="zh-CN"/>
              </w:rPr>
            </w:pPr>
            <w:r>
              <w:rPr>
                <w:rFonts w:eastAsia="等线"/>
                <w:sz w:val="21"/>
                <w:highlight w:val="yellow"/>
              </w:rPr>
              <w:t>Total error</w:t>
            </w:r>
            <w:r>
              <w:rPr>
                <w:rFonts w:hint="eastAsia" w:eastAsia="等线"/>
                <w:sz w:val="21"/>
                <w:highlight w:val="yellow"/>
                <w:lang w:val="en-US" w:eastAsia="zh-CN"/>
              </w:rPr>
              <w:t xml:space="preserve"> of 5GS E2E</w:t>
            </w:r>
          </w:p>
        </w:tc>
        <w:tc>
          <w:tcPr>
            <w:tcW w:w="4861" w:type="dxa"/>
          </w:tcPr>
          <w:p>
            <w:pPr>
              <w:rPr>
                <w:rFonts w:eastAsia="等线"/>
                <w:sz w:val="21"/>
                <w:highlight w:val="yellow"/>
              </w:rPr>
            </w:pPr>
            <w:r>
              <w:rPr>
                <w:rFonts w:eastAsia="等线"/>
                <w:sz w:val="21"/>
                <w:highlight w:val="yellow"/>
              </w:rPr>
              <w:t xml:space="preserve"> </w:t>
            </w:r>
            <w:r>
              <w:rPr>
                <w:rFonts w:hint="eastAsia" w:eastAsia="等线"/>
                <w:sz w:val="21"/>
                <w:highlight w:val="yellow"/>
              </w:rPr>
              <w:t xml:space="preserve">Total inaccuracy </w:t>
            </w:r>
            <w:r>
              <w:rPr>
                <w:rFonts w:eastAsia="等线"/>
                <w:sz w:val="21"/>
                <w:highlight w:val="yellow"/>
              </w:rPr>
              <w:t xml:space="preserve">for </w:t>
            </w:r>
            <w:r>
              <w:rPr>
                <w:sz w:val="21"/>
                <w:szCs w:val="18"/>
                <w:highlight w:val="yellow"/>
              </w:rPr>
              <w:t>1000 m x 100 m</w:t>
            </w:r>
            <w:r>
              <w:rPr>
                <w:rFonts w:eastAsia="等线"/>
                <w:sz w:val="21"/>
                <w:highlight w:val="yellow"/>
              </w:rPr>
              <w:t xml:space="preserve"> service area (with propagation compensation) </w:t>
            </w:r>
            <w:r>
              <w:rPr>
                <w:rFonts w:hint="eastAsia" w:eastAsia="等线"/>
                <w:sz w:val="21"/>
                <w:highlight w:val="yellow"/>
              </w:rPr>
              <w:t>=</w:t>
            </w:r>
            <w:r>
              <w:rPr>
                <w:rFonts w:eastAsia="等线"/>
                <w:sz w:val="21"/>
                <w:highlight w:val="yellow"/>
              </w:rPr>
              <w:t xml:space="preserve"> (2*(1.1+1.2+1.3+2+3</w:t>
            </w:r>
            <w:r>
              <w:rPr>
                <w:rFonts w:hint="eastAsia" w:eastAsia="等线"/>
                <w:sz w:val="21"/>
                <w:highlight w:val="yellow"/>
                <w:lang w:val="en-US" w:eastAsia="zh-CN"/>
              </w:rPr>
              <w:t>+4</w:t>
            </w:r>
            <w:r>
              <w:rPr>
                <w:rFonts w:eastAsia="等线"/>
                <w:sz w:val="21"/>
                <w:highlight w:val="yellow"/>
              </w:rPr>
              <w:t>))</w:t>
            </w:r>
          </w:p>
        </w:tc>
        <w:tc>
          <w:tcPr>
            <w:tcW w:w="1312" w:type="dxa"/>
            <w:shd w:val="clear" w:color="auto" w:fill="auto"/>
            <w:tcMar>
              <w:top w:w="15" w:type="dxa"/>
              <w:left w:w="108" w:type="dxa"/>
              <w:bottom w:w="0" w:type="dxa"/>
              <w:right w:w="108" w:type="dxa"/>
            </w:tcMar>
            <w:vAlign w:val="center"/>
          </w:tcPr>
          <w:p>
            <w:pPr>
              <w:jc w:val="center"/>
              <w:rPr>
                <w:rFonts w:eastAsia="等线"/>
                <w:sz w:val="21"/>
                <w:highlight w:val="yellow"/>
              </w:rPr>
            </w:pPr>
            <w:r>
              <w:rPr>
                <w:rFonts w:eastAsia="等线"/>
                <w:sz w:val="21"/>
                <w:highlight w:val="yellow"/>
              </w:rPr>
              <w:t>1</w:t>
            </w:r>
            <w:r>
              <w:rPr>
                <w:rFonts w:hint="eastAsia" w:eastAsia="等线"/>
                <w:sz w:val="21"/>
                <w:highlight w:val="yellow"/>
                <w:lang w:val="en-US" w:eastAsia="zh-CN"/>
              </w:rPr>
              <w:t>83</w:t>
            </w:r>
            <w:r>
              <w:rPr>
                <w:rFonts w:eastAsia="等线"/>
                <w:sz w:val="21"/>
                <w:highlight w:val="yellow"/>
              </w:rPr>
              <w:t>0</w:t>
            </w:r>
          </w:p>
        </w:tc>
        <w:tc>
          <w:tcPr>
            <w:tcW w:w="1345" w:type="dxa"/>
            <w:shd w:val="clear" w:color="auto" w:fill="auto"/>
            <w:tcMar>
              <w:top w:w="15" w:type="dxa"/>
              <w:left w:w="108" w:type="dxa"/>
              <w:bottom w:w="0" w:type="dxa"/>
              <w:right w:w="108" w:type="dxa"/>
            </w:tcMar>
            <w:vAlign w:val="center"/>
          </w:tcPr>
          <w:p>
            <w:pPr>
              <w:jc w:val="center"/>
              <w:rPr>
                <w:rFonts w:hint="eastAsia" w:eastAsia="等线"/>
                <w:sz w:val="21"/>
                <w:highlight w:val="yellow"/>
                <w:lang w:val="en-US" w:eastAsia="zh-CN"/>
              </w:rPr>
            </w:pPr>
            <w:r>
              <w:rPr>
                <w:rFonts w:eastAsia="等线"/>
                <w:sz w:val="21"/>
                <w:highlight w:val="yellow"/>
              </w:rPr>
              <w:t>1</w:t>
            </w:r>
            <w:r>
              <w:rPr>
                <w:rFonts w:hint="eastAsia" w:eastAsia="等线"/>
                <w:sz w:val="21"/>
                <w:highlight w:val="yellow"/>
                <w:lang w:val="en-US" w:eastAsia="zh-CN"/>
              </w:rPr>
              <w:t>57</w:t>
            </w:r>
            <w:r>
              <w:rPr>
                <w:rFonts w:eastAsia="等线"/>
                <w:sz w:val="21"/>
                <w:highlight w:val="yellow"/>
              </w:rPr>
              <w:t>0</w:t>
            </w:r>
          </w:p>
        </w:tc>
      </w:tr>
    </w:tbl>
    <w:p>
      <w:pPr>
        <w:rPr>
          <w:lang w:eastAsia="ko-KR"/>
        </w:rPr>
      </w:pPr>
    </w:p>
    <w:p>
      <w:pPr>
        <w:rPr>
          <w:lang w:eastAsia="ko-KR"/>
        </w:rPr>
      </w:pPr>
      <w:r>
        <w:rPr>
          <w:lang w:eastAsia="ko-KR"/>
        </w:rPr>
        <w:t xml:space="preserve">According to the analysis given in the above table, the inaccuracy of 15/30KHz SCS cannot fulfil the TSN clock synchronization requirements of </w:t>
      </w:r>
      <w:r>
        <w:rPr>
          <w:rFonts w:hint="eastAsia"/>
          <w:lang w:val="en-US" w:eastAsia="zh-CN"/>
        </w:rPr>
        <w:t xml:space="preserve">900ns </w:t>
      </w:r>
      <w:r>
        <w:rPr>
          <w:lang w:eastAsia="ko-KR"/>
        </w:rPr>
        <w:t>even after the propagation delay compensation</w:t>
      </w:r>
      <w:r>
        <w:rPr>
          <w:rFonts w:hint="eastAsia"/>
          <w:lang w:val="en-US" w:eastAsia="zh-CN"/>
        </w:rPr>
        <w:t xml:space="preserve"> based on TA</w:t>
      </w:r>
      <w:r>
        <w:rPr>
          <w:lang w:eastAsia="ko-KR"/>
        </w:rPr>
        <w:t xml:space="preserve">. </w:t>
      </w:r>
    </w:p>
    <w:p>
      <w:pPr>
        <w:rPr>
          <w:b/>
          <w:lang w:eastAsia="ko-KR"/>
        </w:rPr>
      </w:pPr>
      <w:r>
        <w:rPr>
          <w:b/>
          <w:lang w:eastAsia="ko-KR"/>
        </w:rPr>
        <w:t xml:space="preserve">Observation </w:t>
      </w:r>
      <w:r>
        <w:rPr>
          <w:rFonts w:hint="eastAsia"/>
          <w:b/>
          <w:lang w:val="en-US" w:eastAsia="zh-CN"/>
        </w:rPr>
        <w:t>2</w:t>
      </w:r>
      <w:r>
        <w:rPr>
          <w:b/>
          <w:lang w:eastAsia="ko-KR"/>
        </w:rPr>
        <w:t>: After the propagation delay compensation</w:t>
      </w:r>
      <w:r>
        <w:rPr>
          <w:rFonts w:hint="eastAsia"/>
          <w:b/>
          <w:lang w:val="en-US" w:eastAsia="zh-CN"/>
        </w:rPr>
        <w:t xml:space="preserve"> based on TA</w:t>
      </w:r>
      <w:r>
        <w:rPr>
          <w:b/>
          <w:lang w:eastAsia="ko-KR"/>
        </w:rPr>
        <w:t>, the inaccuracy of 15/30KHz SCS cannot fulfil the TSN clock synchronization requirements</w:t>
      </w:r>
      <w:r>
        <w:rPr>
          <w:rFonts w:hint="eastAsia"/>
          <w:b/>
          <w:lang w:val="en-US" w:eastAsia="zh-CN"/>
        </w:rPr>
        <w:t xml:space="preserve"> of 900ns for UE-to-UE time synchronization use case</w:t>
      </w:r>
      <w:r>
        <w:rPr>
          <w:b/>
          <w:lang w:eastAsia="ko-KR"/>
        </w:rPr>
        <w:t>.</w:t>
      </w:r>
    </w:p>
    <w:p>
      <w:pPr>
        <w:rPr>
          <w:rFonts w:hint="eastAsia"/>
          <w:lang w:val="en-US" w:eastAsia="zh-CN"/>
        </w:rPr>
      </w:pPr>
      <w:r>
        <w:rPr>
          <w:rFonts w:hint="eastAsia"/>
          <w:lang w:val="en-US" w:eastAsia="zh-CN"/>
        </w:rPr>
        <w:t>Except for TA based propagation delay compensation, RAN1 agreed that RTT based delay compensation is also a candidate solution.</w:t>
      </w:r>
    </w:p>
    <w:p>
      <w:pPr>
        <w:numPr>
          <w:ilvl w:val="0"/>
          <w:numId w:val="12"/>
        </w:numPr>
        <w:autoSpaceDE w:val="0"/>
        <w:autoSpaceDN w:val="0"/>
        <w:snapToGrid w:val="0"/>
        <w:spacing w:after="120"/>
        <w:contextualSpacing/>
        <w:jc w:val="both"/>
        <w:rPr>
          <w:rFonts w:ascii="Arial" w:hAnsi="Arial" w:cs="Arial"/>
          <w:i/>
          <w:iCs/>
        </w:rPr>
      </w:pPr>
      <w:r>
        <w:rPr>
          <w:rFonts w:ascii="Arial" w:hAnsi="Arial" w:cs="Arial"/>
          <w:b/>
          <w:bCs/>
          <w:i/>
          <w:iCs/>
        </w:rPr>
        <w:t>Option 2</w:t>
      </w:r>
      <w:r>
        <w:rPr>
          <w:rFonts w:ascii="Arial" w:hAnsi="Arial" w:cs="Arial"/>
          <w:i/>
          <w:iCs/>
        </w:rPr>
        <w:t>: RTT based delay compensation:</w:t>
      </w:r>
    </w:p>
    <w:p>
      <w:pPr>
        <w:numPr>
          <w:ilvl w:val="1"/>
          <w:numId w:val="12"/>
        </w:numPr>
        <w:autoSpaceDE w:val="0"/>
        <w:autoSpaceDN w:val="0"/>
        <w:snapToGrid w:val="0"/>
        <w:spacing w:before="120" w:beforeLines="50" w:after="120"/>
        <w:ind w:left="2160"/>
        <w:contextualSpacing/>
        <w:jc w:val="both"/>
        <w:rPr>
          <w:rFonts w:hint="eastAsia" w:ascii="Arial" w:hAnsi="Arial" w:cs="Arial"/>
          <w:i/>
          <w:iCs/>
        </w:rPr>
      </w:pPr>
      <w:r>
        <w:rPr>
          <w:rFonts w:ascii="Arial" w:hAnsi="Arial" w:cs="Arial"/>
          <w:i/>
          <w:iCs/>
        </w:rPr>
        <w:t>Propagation delay estimation based on an RAN managed Rx-Tx procedure intended for time synchronization (FFS to expand or separate procedure</w:t>
      </w:r>
      <w:r>
        <w:rPr>
          <w:rFonts w:ascii="Arial" w:hAnsi="Arial" w:cs="Arial"/>
          <w:i/>
          <w:iCs/>
          <w:color w:val="000000"/>
        </w:rPr>
        <w:t>/signaling</w:t>
      </w:r>
      <w:r>
        <w:rPr>
          <w:rFonts w:ascii="Arial" w:hAnsi="Arial" w:cs="Arial"/>
          <w:i/>
          <w:iCs/>
        </w:rPr>
        <w:t xml:space="preserve"> to positioning). </w:t>
      </w:r>
    </w:p>
    <w:p>
      <w:pPr>
        <w:numPr>
          <w:ilvl w:val="0"/>
          <w:numId w:val="0"/>
        </w:numPr>
        <w:autoSpaceDE w:val="0"/>
        <w:autoSpaceDN w:val="0"/>
        <w:snapToGrid w:val="0"/>
        <w:spacing w:before="120" w:beforeLines="50" w:after="120"/>
        <w:contextualSpacing/>
        <w:jc w:val="both"/>
        <w:rPr>
          <w:rFonts w:ascii="Arial" w:hAnsi="Arial" w:cs="Arial"/>
          <w:i/>
          <w:iCs/>
        </w:rPr>
      </w:pPr>
    </w:p>
    <w:p>
      <w:pPr>
        <w:numPr>
          <w:ilvl w:val="0"/>
          <w:numId w:val="0"/>
        </w:numPr>
        <w:autoSpaceDE w:val="0"/>
        <w:autoSpaceDN w:val="0"/>
        <w:snapToGrid w:val="0"/>
        <w:spacing w:before="120" w:beforeLines="50" w:after="120"/>
        <w:contextualSpacing/>
        <w:jc w:val="both"/>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 xml:space="preserve">For RTT based delay compensation, we observe that at least the following aspects </w:t>
      </w:r>
      <w:r>
        <w:rPr>
          <w:rFonts w:hint="eastAsia" w:cs="Times New Roman"/>
          <w:i w:val="0"/>
          <w:iCs w:val="0"/>
          <w:lang w:val="en-US" w:eastAsia="zh-CN"/>
        </w:rPr>
        <w:t>should be taken into consideration</w:t>
      </w:r>
      <w:r>
        <w:rPr>
          <w:rFonts w:hint="default" w:ascii="Times New Roman" w:hAnsi="Times New Roman" w:cs="Times New Roman"/>
          <w:i w:val="0"/>
          <w:iCs w:val="0"/>
          <w:lang w:val="en-US" w:eastAsia="zh-CN"/>
        </w:rPr>
        <w:t>, with respect to RTT method in positioning:</w:t>
      </w:r>
    </w:p>
    <w:p>
      <w:pPr>
        <w:numPr>
          <w:ilvl w:val="0"/>
          <w:numId w:val="13"/>
        </w:numPr>
        <w:autoSpaceDE w:val="0"/>
        <w:autoSpaceDN w:val="0"/>
        <w:snapToGrid w:val="0"/>
        <w:spacing w:before="120" w:beforeLines="50" w:after="120"/>
        <w:ind w:left="840" w:leftChars="0" w:hanging="420" w:firstLineChars="0"/>
        <w:contextualSpacing/>
        <w:jc w:val="both"/>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Exchange of time information. In positioning project, gNB does not know the transmitting time and receiving time of reference signal at UE side and vice versa. In order to perform propagation delay compensation at UE or gNB</w:t>
      </w:r>
      <w:r>
        <w:rPr>
          <w:rFonts w:hint="eastAsia" w:cs="Times New Roman"/>
          <w:i w:val="0"/>
          <w:iCs w:val="0"/>
          <w:lang w:val="en-US" w:eastAsia="zh-CN"/>
        </w:rPr>
        <w:t xml:space="preserve">, </w:t>
      </w:r>
      <w:r>
        <w:rPr>
          <w:rFonts w:hint="default" w:ascii="Times New Roman" w:hAnsi="Times New Roman" w:cs="Times New Roman"/>
          <w:i w:val="0"/>
          <w:iCs w:val="0"/>
          <w:lang w:val="en-US" w:eastAsia="zh-CN"/>
        </w:rPr>
        <w:t>exchange of time information is needed between gNB and UE.</w:t>
      </w:r>
    </w:p>
    <w:p>
      <w:pPr>
        <w:numPr>
          <w:ilvl w:val="0"/>
          <w:numId w:val="13"/>
        </w:numPr>
        <w:autoSpaceDE w:val="0"/>
        <w:autoSpaceDN w:val="0"/>
        <w:snapToGrid w:val="0"/>
        <w:spacing w:before="120" w:beforeLines="50" w:after="120"/>
        <w:ind w:left="840" w:leftChars="0" w:hanging="420" w:firstLineChars="0"/>
        <w:contextualSpacing/>
        <w:jc w:val="both"/>
        <w:rPr>
          <w:rFonts w:hint="default" w:ascii="Times New Roman" w:hAnsi="Times New Roman" w:cs="Times New Roman"/>
          <w:i w:val="0"/>
          <w:iCs w:val="0"/>
          <w:lang w:val="en-US" w:eastAsia="zh-CN"/>
        </w:rPr>
      </w:pPr>
      <w:r>
        <w:rPr>
          <w:rFonts w:hint="eastAsia" w:cs="Times New Roman"/>
          <w:i w:val="0"/>
          <w:iCs w:val="0"/>
          <w:lang w:val="en-US" w:eastAsia="zh-CN"/>
        </w:rPr>
        <w:t xml:space="preserve">Support </w:t>
      </w:r>
      <w:r>
        <w:rPr>
          <w:rFonts w:hint="default" w:ascii="Times New Roman" w:hAnsi="Times New Roman" w:cs="Times New Roman"/>
          <w:i w:val="0"/>
          <w:iCs w:val="0"/>
          <w:lang w:val="en-US" w:eastAsia="zh-CN"/>
        </w:rPr>
        <w:t xml:space="preserve">UE based </w:t>
      </w:r>
      <w:r>
        <w:rPr>
          <w:rFonts w:hint="eastAsia" w:cs="Times New Roman"/>
          <w:i w:val="0"/>
          <w:iCs w:val="0"/>
          <w:lang w:val="en-US" w:eastAsia="zh-CN"/>
        </w:rPr>
        <w:t xml:space="preserve">delay </w:t>
      </w:r>
      <w:r>
        <w:rPr>
          <w:rFonts w:hint="default" w:ascii="Times New Roman" w:hAnsi="Times New Roman" w:cs="Times New Roman"/>
          <w:i w:val="0"/>
          <w:iCs w:val="0"/>
          <w:lang w:val="en-US" w:eastAsia="zh-CN"/>
        </w:rPr>
        <w:t xml:space="preserve">compensation. In positioning project, </w:t>
      </w:r>
      <w:r>
        <w:rPr>
          <w:rFonts w:hint="eastAsia" w:cs="Times New Roman"/>
          <w:i w:val="0"/>
          <w:iCs w:val="0"/>
          <w:lang w:val="en-US" w:eastAsia="zh-CN"/>
        </w:rPr>
        <w:t xml:space="preserve">as </w:t>
      </w:r>
      <w:r>
        <w:rPr>
          <w:rFonts w:hint="default" w:ascii="Times New Roman" w:hAnsi="Times New Roman" w:cs="Times New Roman"/>
          <w:i w:val="0"/>
          <w:iCs w:val="0"/>
          <w:lang w:val="en-US" w:eastAsia="zh-CN"/>
        </w:rPr>
        <w:t xml:space="preserve">UE based </w:t>
      </w:r>
      <w:r>
        <w:rPr>
          <w:rFonts w:hint="eastAsia" w:cs="Times New Roman"/>
          <w:i w:val="0"/>
          <w:iCs w:val="0"/>
          <w:lang w:val="en-US" w:eastAsia="zh-CN"/>
        </w:rPr>
        <w:t>RTT</w:t>
      </w:r>
      <w:r>
        <w:rPr>
          <w:rFonts w:hint="default" w:ascii="Times New Roman" w:hAnsi="Times New Roman" w:cs="Times New Roman"/>
          <w:i w:val="0"/>
          <w:iCs w:val="0"/>
          <w:lang w:val="en-US" w:eastAsia="zh-CN"/>
        </w:rPr>
        <w:t xml:space="preserve"> is not supported</w:t>
      </w:r>
      <w:r>
        <w:rPr>
          <w:rFonts w:hint="eastAsia" w:cs="Times New Roman"/>
          <w:i w:val="0"/>
          <w:iCs w:val="0"/>
          <w:lang w:val="en-US" w:eastAsia="zh-CN"/>
        </w:rPr>
        <w:t xml:space="preserve">,  </w:t>
      </w:r>
      <w:r>
        <w:rPr>
          <w:rFonts w:hint="default" w:ascii="Times New Roman" w:hAnsi="Times New Roman" w:cs="Times New Roman"/>
          <w:i w:val="0"/>
          <w:iCs w:val="0"/>
          <w:lang w:val="en-US" w:eastAsia="zh-CN"/>
        </w:rPr>
        <w:t xml:space="preserve">UE based </w:t>
      </w:r>
      <w:r>
        <w:rPr>
          <w:rFonts w:hint="eastAsia" w:cs="Times New Roman"/>
          <w:i w:val="0"/>
          <w:iCs w:val="0"/>
          <w:lang w:val="en-US" w:eastAsia="zh-CN"/>
        </w:rPr>
        <w:t xml:space="preserve">delay </w:t>
      </w:r>
      <w:r>
        <w:rPr>
          <w:rFonts w:hint="default" w:ascii="Times New Roman" w:hAnsi="Times New Roman" w:cs="Times New Roman"/>
          <w:i w:val="0"/>
          <w:iCs w:val="0"/>
          <w:lang w:val="en-US" w:eastAsia="zh-CN"/>
        </w:rPr>
        <w:t>compensation</w:t>
      </w:r>
      <w:r>
        <w:rPr>
          <w:rFonts w:hint="eastAsia" w:cs="Times New Roman"/>
          <w:i w:val="0"/>
          <w:iCs w:val="0"/>
          <w:lang w:val="en-US" w:eastAsia="zh-CN"/>
        </w:rPr>
        <w:t xml:space="preserve"> is not supported</w:t>
      </w:r>
      <w:r>
        <w:rPr>
          <w:rFonts w:hint="default" w:ascii="Times New Roman" w:hAnsi="Times New Roman" w:cs="Times New Roman"/>
          <w:i w:val="0"/>
          <w:iCs w:val="0"/>
          <w:lang w:val="en-US" w:eastAsia="zh-CN"/>
        </w:rPr>
        <w:t xml:space="preserve">. In R16 IIOT, </w:t>
      </w:r>
      <w:r>
        <w:rPr>
          <w:rFonts w:hint="eastAsia" w:cs="Times New Roman"/>
          <w:i w:val="0"/>
          <w:iCs w:val="0"/>
          <w:lang w:val="en-US" w:eastAsia="zh-CN"/>
        </w:rPr>
        <w:t xml:space="preserve">it has been supported that </w:t>
      </w:r>
      <w:r>
        <w:rPr>
          <w:rFonts w:hint="default" w:ascii="Times New Roman" w:hAnsi="Times New Roman" w:cs="Times New Roman"/>
          <w:i w:val="0"/>
          <w:iCs w:val="0"/>
          <w:lang w:val="en-US" w:eastAsia="zh-CN"/>
        </w:rPr>
        <w:t>perform</w:t>
      </w:r>
      <w:r>
        <w:rPr>
          <w:rFonts w:hint="eastAsia" w:cs="Times New Roman"/>
          <w:i w:val="0"/>
          <w:iCs w:val="0"/>
          <w:lang w:val="en-US" w:eastAsia="zh-CN"/>
        </w:rPr>
        <w:t>ing</w:t>
      </w:r>
      <w:r>
        <w:rPr>
          <w:rFonts w:hint="default" w:ascii="Times New Roman" w:hAnsi="Times New Roman" w:cs="Times New Roman"/>
          <w:i w:val="0"/>
          <w:iCs w:val="0"/>
          <w:lang w:val="en-US" w:eastAsia="zh-CN"/>
        </w:rPr>
        <w:t xml:space="preserve"> propagation delay compensation</w:t>
      </w:r>
      <w:r>
        <w:rPr>
          <w:rFonts w:hint="eastAsia" w:cs="Times New Roman"/>
          <w:i w:val="0"/>
          <w:iCs w:val="0"/>
          <w:lang w:val="en-US" w:eastAsia="zh-CN"/>
        </w:rPr>
        <w:t xml:space="preserve"> by</w:t>
      </w:r>
      <w:r>
        <w:rPr>
          <w:rFonts w:hint="default" w:ascii="Times New Roman" w:hAnsi="Times New Roman" w:cs="Times New Roman"/>
          <w:i w:val="0"/>
          <w:iCs w:val="0"/>
          <w:lang w:val="en-US" w:eastAsia="zh-CN"/>
        </w:rPr>
        <w:t xml:space="preserve"> implementation.</w:t>
      </w:r>
      <w:r>
        <w:rPr>
          <w:rFonts w:hint="eastAsia" w:cs="Times New Roman"/>
          <w:i w:val="0"/>
          <w:iCs w:val="0"/>
          <w:lang w:val="en-US" w:eastAsia="zh-CN"/>
        </w:rPr>
        <w:t xml:space="preserve"> Thus, i</w:t>
      </w:r>
      <w:r>
        <w:rPr>
          <w:rFonts w:hint="default" w:ascii="Times New Roman" w:hAnsi="Times New Roman" w:cs="Times New Roman"/>
          <w:i w:val="0"/>
          <w:iCs w:val="0"/>
          <w:lang w:val="en-US" w:eastAsia="zh-CN"/>
        </w:rPr>
        <w:t>t is better to support UE based compensation to keep align with R16.</w:t>
      </w:r>
    </w:p>
    <w:p>
      <w:pPr>
        <w:numPr>
          <w:ilvl w:val="0"/>
          <w:numId w:val="13"/>
        </w:numPr>
        <w:autoSpaceDE w:val="0"/>
        <w:autoSpaceDN w:val="0"/>
        <w:snapToGrid w:val="0"/>
        <w:spacing w:before="120" w:beforeLines="50" w:after="120"/>
        <w:ind w:left="840" w:leftChars="0" w:hanging="420" w:firstLineChars="0"/>
        <w:contextualSpacing/>
        <w:jc w:val="both"/>
        <w:rPr>
          <w:rFonts w:hint="default" w:ascii="Times New Roman" w:hAnsi="Times New Roman" w:cs="Times New Roman"/>
          <w:i w:val="0"/>
          <w:iCs w:val="0"/>
          <w:lang w:val="en-US" w:eastAsia="zh-CN"/>
        </w:rPr>
      </w:pPr>
      <w:r>
        <w:rPr>
          <w:rFonts w:hint="eastAsia" w:cs="Times New Roman"/>
          <w:i w:val="0"/>
          <w:iCs w:val="0"/>
          <w:lang w:val="en-US" w:eastAsia="zh-CN"/>
        </w:rPr>
        <w:t>Resource allocation of UL reference signal. In positioning project, the large bandwidth of UL reference signal is used to guarantee accuracy. In IIOT, the larger bandwidth of UL reference signal is required for all UEs if high accuracy delay compensation is needed. Thus, the overhead of UL reference signal is huger as UL reference signal is UE specific, with respect to positioning scenario.</w:t>
      </w:r>
    </w:p>
    <w:p>
      <w:pPr>
        <w:numPr>
          <w:ilvl w:val="0"/>
          <w:numId w:val="13"/>
        </w:numPr>
        <w:autoSpaceDE w:val="0"/>
        <w:autoSpaceDN w:val="0"/>
        <w:snapToGrid w:val="0"/>
        <w:spacing w:before="120" w:beforeLines="50" w:after="120"/>
        <w:ind w:left="840" w:leftChars="0" w:hanging="420" w:firstLineChars="0"/>
        <w:contextualSpacing/>
        <w:jc w:val="both"/>
        <w:rPr>
          <w:rFonts w:hint="eastAsia"/>
          <w:lang w:val="en-US" w:eastAsia="zh-CN"/>
        </w:rPr>
      </w:pPr>
      <w:r>
        <w:rPr>
          <w:rFonts w:hint="default" w:ascii="Times New Roman" w:hAnsi="Times New Roman" w:cs="Times New Roman"/>
          <w:i w:val="0"/>
          <w:iCs w:val="0"/>
          <w:lang w:val="en-US" w:eastAsia="zh-CN"/>
        </w:rPr>
        <w:t xml:space="preserve">The signaling overhead caused by </w:t>
      </w:r>
      <w:r>
        <w:rPr>
          <w:rFonts w:hint="eastAsia" w:cs="Times New Roman"/>
          <w:i w:val="0"/>
          <w:iCs w:val="0"/>
          <w:lang w:val="en-US" w:eastAsia="zh-CN"/>
        </w:rPr>
        <w:t xml:space="preserve">triggering </w:t>
      </w:r>
      <w:r>
        <w:rPr>
          <w:rFonts w:hint="default" w:ascii="Times New Roman" w:hAnsi="Times New Roman" w:cs="Times New Roman"/>
          <w:i w:val="0"/>
          <w:iCs w:val="0"/>
          <w:lang w:val="en-US" w:eastAsia="zh-CN"/>
        </w:rPr>
        <w:t xml:space="preserve">RTT based delay </w:t>
      </w:r>
      <w:r>
        <w:rPr>
          <w:rFonts w:hint="eastAsia" w:cs="Times New Roman"/>
          <w:i w:val="0"/>
          <w:iCs w:val="0"/>
          <w:lang w:val="en-US" w:eastAsia="zh-CN"/>
        </w:rPr>
        <w:t>measurement</w:t>
      </w:r>
      <w:r>
        <w:rPr>
          <w:rFonts w:hint="default" w:ascii="Times New Roman" w:hAnsi="Times New Roman" w:cs="Times New Roman"/>
          <w:i w:val="0"/>
          <w:iCs w:val="0"/>
          <w:lang w:val="en-US" w:eastAsia="zh-CN"/>
        </w:rPr>
        <w:t>.</w:t>
      </w:r>
      <w:r>
        <w:rPr>
          <w:rFonts w:hint="eastAsia" w:cs="Times New Roman"/>
          <w:i w:val="0"/>
          <w:iCs w:val="0"/>
          <w:lang w:val="en-US" w:eastAsia="zh-CN"/>
        </w:rPr>
        <w:t xml:space="preserve"> </w:t>
      </w:r>
      <w:r>
        <w:rPr>
          <w:rFonts w:hint="default" w:ascii="Times New Roman" w:hAnsi="Times New Roman" w:cs="Times New Roman"/>
          <w:i w:val="0"/>
          <w:iCs w:val="0"/>
          <w:szCs w:val="22"/>
          <w:lang w:val="en-US" w:eastAsia="zh-CN"/>
        </w:rPr>
        <w:t>Obtaining required precision for external clock may need quite frequent time information updates over Uu</w:t>
      </w:r>
      <w:r>
        <w:rPr>
          <w:rFonts w:hint="eastAsia"/>
          <w:lang w:val="en-US" w:eastAsia="zh-CN"/>
        </w:rPr>
        <w:t xml:space="preserve">. Thus, </w:t>
      </w:r>
      <w:r>
        <w:rPr>
          <w:rFonts w:hint="eastAsia" w:cs="Times New Roman"/>
          <w:i w:val="0"/>
          <w:iCs w:val="0"/>
          <w:lang w:val="en-US" w:eastAsia="zh-CN"/>
        </w:rPr>
        <w:t>t</w:t>
      </w:r>
      <w:r>
        <w:rPr>
          <w:rFonts w:hint="default" w:ascii="Times New Roman" w:hAnsi="Times New Roman" w:cs="Times New Roman"/>
          <w:i w:val="0"/>
          <w:iCs w:val="0"/>
          <w:lang w:val="en-US" w:eastAsia="zh-CN"/>
        </w:rPr>
        <w:t xml:space="preserve">he signaling overhead caused by </w:t>
      </w:r>
      <w:r>
        <w:rPr>
          <w:rFonts w:hint="eastAsia" w:cs="Times New Roman"/>
          <w:i w:val="0"/>
          <w:iCs w:val="0"/>
          <w:lang w:val="en-US" w:eastAsia="zh-CN"/>
        </w:rPr>
        <w:t xml:space="preserve">triggering </w:t>
      </w:r>
      <w:r>
        <w:rPr>
          <w:rFonts w:hint="default" w:ascii="Times New Roman" w:hAnsi="Times New Roman" w:cs="Times New Roman"/>
          <w:i w:val="0"/>
          <w:iCs w:val="0"/>
          <w:lang w:val="en-US" w:eastAsia="zh-CN"/>
        </w:rPr>
        <w:t xml:space="preserve">RTT based delay </w:t>
      </w:r>
      <w:r>
        <w:rPr>
          <w:rFonts w:hint="eastAsia" w:cs="Times New Roman"/>
          <w:i w:val="0"/>
          <w:iCs w:val="0"/>
          <w:lang w:val="en-US" w:eastAsia="zh-CN"/>
        </w:rPr>
        <w:t xml:space="preserve">measurement may be huge in order to </w:t>
      </w:r>
      <w:r>
        <w:rPr>
          <w:rFonts w:hint="default" w:ascii="Times New Roman" w:hAnsi="Times New Roman" w:cs="Times New Roman"/>
          <w:i w:val="0"/>
          <w:iCs w:val="0"/>
          <w:szCs w:val="22"/>
          <w:lang w:val="en-US" w:eastAsia="zh-CN"/>
        </w:rPr>
        <w:fldChar w:fldCharType="begin"/>
      </w:r>
      <w:r>
        <w:rPr>
          <w:rFonts w:hint="default" w:ascii="Times New Roman" w:hAnsi="Times New Roman" w:cs="Times New Roman"/>
          <w:i w:val="0"/>
          <w:iCs w:val="0"/>
          <w:szCs w:val="22"/>
          <w:lang w:val="en-US" w:eastAsia="zh-CN"/>
        </w:rPr>
        <w:instrText xml:space="preserve"> HYPERLINK "D:/Dict/8.9.4.0/resultui/html/index.html" \l "/javascript:;" </w:instrText>
      </w:r>
      <w:r>
        <w:rPr>
          <w:rFonts w:hint="default" w:ascii="Times New Roman" w:hAnsi="Times New Roman" w:cs="Times New Roman"/>
          <w:i w:val="0"/>
          <w:iCs w:val="0"/>
          <w:szCs w:val="22"/>
          <w:lang w:val="en-US" w:eastAsia="zh-CN"/>
        </w:rPr>
        <w:fldChar w:fldCharType="separate"/>
      </w:r>
      <w:r>
        <w:rPr>
          <w:rFonts w:hint="default" w:ascii="Times New Roman" w:hAnsi="Times New Roman" w:cs="Times New Roman"/>
          <w:i w:val="0"/>
          <w:iCs w:val="0"/>
          <w:szCs w:val="22"/>
          <w:lang w:val="en-US" w:eastAsia="zh-CN"/>
        </w:rPr>
        <w:t>guarantee</w:t>
      </w:r>
      <w:r>
        <w:rPr>
          <w:rFonts w:hint="default" w:ascii="Times New Roman" w:hAnsi="Times New Roman" w:cs="Times New Roman"/>
          <w:i w:val="0"/>
          <w:iCs w:val="0"/>
          <w:szCs w:val="22"/>
          <w:lang w:val="en-US" w:eastAsia="zh-CN"/>
        </w:rPr>
        <w:fldChar w:fldCharType="end"/>
      </w:r>
      <w:r>
        <w:rPr>
          <w:rFonts w:hint="eastAsia" w:cs="Times New Roman"/>
          <w:i w:val="0"/>
          <w:iCs w:val="0"/>
          <w:szCs w:val="22"/>
          <w:lang w:val="en-US" w:eastAsia="zh-CN"/>
        </w:rPr>
        <w:t xml:space="preserve"> the synchronization error is always less than 900ns</w:t>
      </w:r>
      <w:r>
        <w:rPr>
          <w:rFonts w:hint="eastAsia"/>
          <w:szCs w:val="22"/>
          <w:lang w:val="en-US" w:eastAsia="zh-CN"/>
        </w:rPr>
        <w:t>.</w:t>
      </w:r>
    </w:p>
    <w:p>
      <w:pPr>
        <w:rPr>
          <w:rFonts w:hint="eastAsia" w:eastAsia="宋体"/>
          <w:lang w:val="en-US" w:eastAsia="zh-CN"/>
        </w:rPr>
      </w:pPr>
      <w:r>
        <w:rPr>
          <w:rFonts w:hint="eastAsia"/>
          <w:lang w:val="en-US" w:eastAsia="zh-CN"/>
        </w:rPr>
        <w:t xml:space="preserve">Obviously, </w:t>
      </w:r>
      <w:r>
        <w:rPr>
          <w:rFonts w:hint="default" w:ascii="Times New Roman" w:hAnsi="Times New Roman" w:cs="Times New Roman"/>
          <w:i w:val="0"/>
          <w:iCs w:val="0"/>
          <w:lang w:val="en-US" w:eastAsia="zh-CN"/>
        </w:rPr>
        <w:t>RTT</w:t>
      </w:r>
      <w:r>
        <w:rPr>
          <w:rFonts w:hint="eastAsia" w:cs="Times New Roman"/>
          <w:i w:val="0"/>
          <w:iCs w:val="0"/>
          <w:lang w:val="en-US" w:eastAsia="zh-CN"/>
        </w:rPr>
        <w:t>-based</w:t>
      </w:r>
      <w:r>
        <w:rPr>
          <w:rFonts w:hint="default" w:ascii="Times New Roman" w:hAnsi="Times New Roman" w:cs="Times New Roman"/>
          <w:i w:val="0"/>
          <w:iCs w:val="0"/>
          <w:lang w:val="en-US" w:eastAsia="zh-CN"/>
        </w:rPr>
        <w:t xml:space="preserve"> method in positioning</w:t>
      </w:r>
      <w:r>
        <w:rPr>
          <w:rFonts w:hint="eastAsia" w:cs="Times New Roman"/>
          <w:i w:val="0"/>
          <w:iCs w:val="0"/>
          <w:lang w:val="en-US" w:eastAsia="zh-CN"/>
        </w:rPr>
        <w:t xml:space="preserve"> cannot be directly reused in IIOT which means that large specification work may be needed. </w:t>
      </w:r>
      <w:r>
        <w:rPr>
          <w:rFonts w:hint="eastAsia"/>
          <w:lang w:val="en-US" w:eastAsia="zh-CN"/>
        </w:rPr>
        <w:t xml:space="preserve">However, for TA based delay compensation, </w:t>
      </w:r>
      <w:r>
        <w:rPr>
          <w:lang w:eastAsia="ko-KR"/>
        </w:rPr>
        <w:t>we do not have to introduce other measurements and procedures, as the TA which is always needed for the uplink synchronization can be obtained via the RACH procedure.</w:t>
      </w:r>
      <w:r>
        <w:rPr>
          <w:rFonts w:hint="eastAsia"/>
          <w:lang w:val="en-US" w:eastAsia="zh-CN"/>
        </w:rPr>
        <w:t xml:space="preserve"> Moreover, legacy TA based compensation is enough to support smart grid use case based on our analysis above. We prefer not to introduce different solutions to handle different scenarios. Thus, it is proposed to adopt TA based propagation delay compensation, i.e., </w:t>
      </w:r>
      <w:r>
        <w:rPr>
          <w:b w:val="0"/>
          <w:bCs/>
          <w:lang w:eastAsia="ko-KR"/>
        </w:rPr>
        <w:t>N</w:t>
      </w:r>
      <w:r>
        <w:rPr>
          <w:b w:val="0"/>
          <w:bCs/>
          <w:vertAlign w:val="subscript"/>
          <w:lang w:eastAsia="ko-KR"/>
        </w:rPr>
        <w:t>TA</w:t>
      </w:r>
      <w:r>
        <w:rPr>
          <w:b w:val="0"/>
          <w:bCs/>
          <w:lang w:eastAsia="ko-KR"/>
        </w:rPr>
        <w:t>/2</w:t>
      </w:r>
      <w:r>
        <w:rPr>
          <w:rFonts w:hint="eastAsia"/>
          <w:b w:val="0"/>
          <w:bCs/>
          <w:lang w:val="en-US" w:eastAsia="zh-CN"/>
        </w:rPr>
        <w:t xml:space="preserve"> based compensation</w:t>
      </w:r>
      <w:r>
        <w:rPr>
          <w:b w:val="0"/>
          <w:bCs/>
          <w:lang w:eastAsia="ko-KR"/>
        </w:rPr>
        <w:t xml:space="preserve"> is used</w:t>
      </w:r>
      <w:r>
        <w:rPr>
          <w:rFonts w:hint="eastAsia"/>
          <w:b w:val="0"/>
          <w:bCs/>
          <w:lang w:val="en-US" w:eastAsia="zh-CN"/>
        </w:rPr>
        <w:t>.</w:t>
      </w:r>
    </w:p>
    <w:p>
      <w:pPr>
        <w:rPr>
          <w:b/>
          <w:lang w:eastAsia="ko-KR"/>
        </w:rPr>
      </w:pPr>
      <w:r>
        <w:rPr>
          <w:b/>
          <w:lang w:eastAsia="ko-KR"/>
        </w:rPr>
        <w:t>Proposal 1: N</w:t>
      </w:r>
      <w:r>
        <w:rPr>
          <w:b/>
          <w:vertAlign w:val="subscript"/>
          <w:lang w:eastAsia="ko-KR"/>
        </w:rPr>
        <w:t>TA</w:t>
      </w:r>
      <w:r>
        <w:rPr>
          <w:b/>
          <w:lang w:eastAsia="ko-KR"/>
        </w:rPr>
        <w:t>/2 is used for the propagation delay compensation of the reference time.</w:t>
      </w:r>
    </w:p>
    <w:p>
      <w:pPr>
        <w:rPr>
          <w:lang w:eastAsia="ko-KR"/>
        </w:rPr>
      </w:pPr>
      <w:r>
        <w:rPr>
          <w:lang w:eastAsia="ko-KR"/>
        </w:rPr>
        <w:t>According to the analysis given in the above</w:t>
      </w:r>
      <w:r>
        <w:rPr>
          <w:rFonts w:hint="eastAsia"/>
          <w:lang w:val="en-US" w:eastAsia="zh-CN"/>
        </w:rPr>
        <w:t>, the TSN synchronization requirement cannot be fulfilled</w:t>
      </w:r>
      <w:r>
        <w:rPr>
          <w:lang w:eastAsia="ko-KR"/>
        </w:rPr>
        <w:t xml:space="preserve"> even after the propagation delay compensation</w:t>
      </w:r>
      <w:r>
        <w:rPr>
          <w:rFonts w:hint="eastAsia"/>
          <w:lang w:val="en-US" w:eastAsia="zh-CN"/>
        </w:rPr>
        <w:t xml:space="preserve"> based on TA</w:t>
      </w:r>
      <w:r>
        <w:rPr>
          <w:lang w:eastAsia="ko-KR"/>
        </w:rPr>
        <w:t>, the potential enhancements could include following aspects:</w:t>
      </w:r>
    </w:p>
    <w:p>
      <w:pPr>
        <w:pStyle w:val="71"/>
        <w:numPr>
          <w:ilvl w:val="0"/>
          <w:numId w:val="14"/>
        </w:numPr>
        <w:ind w:firstLineChars="0"/>
        <w:rPr>
          <w:lang w:eastAsia="ko-KR"/>
        </w:rPr>
      </w:pPr>
      <w:r>
        <w:rPr>
          <w:lang w:eastAsia="ko-KR"/>
        </w:rPr>
        <w:t>More accurate DL signal detection (1.2)</w:t>
      </w:r>
    </w:p>
    <w:p>
      <w:pPr>
        <w:pStyle w:val="71"/>
        <w:numPr>
          <w:ilvl w:val="0"/>
          <w:numId w:val="14"/>
        </w:numPr>
        <w:ind w:firstLineChars="0"/>
        <w:rPr>
          <w:lang w:eastAsia="ko-KR"/>
        </w:rPr>
      </w:pPr>
      <w:r>
        <w:rPr>
          <w:lang w:eastAsia="ko-KR"/>
        </w:rPr>
        <w:t>More accurate UL signal transmission (1.3.1)</w:t>
      </w:r>
    </w:p>
    <w:p>
      <w:pPr>
        <w:pStyle w:val="71"/>
        <w:numPr>
          <w:ilvl w:val="0"/>
          <w:numId w:val="14"/>
        </w:numPr>
        <w:ind w:firstLineChars="0"/>
        <w:rPr>
          <w:lang w:eastAsia="ko-KR"/>
        </w:rPr>
      </w:pPr>
      <w:r>
        <w:rPr>
          <w:lang w:eastAsia="ko-KR"/>
        </w:rPr>
        <w:t>More accurate UL signal detection (1.3.2)</w:t>
      </w:r>
    </w:p>
    <w:p>
      <w:pPr>
        <w:pStyle w:val="71"/>
        <w:numPr>
          <w:ilvl w:val="0"/>
          <w:numId w:val="14"/>
        </w:numPr>
        <w:ind w:firstLineChars="0"/>
        <w:rPr>
          <w:b/>
          <w:lang w:eastAsia="ko-KR"/>
        </w:rPr>
      </w:pPr>
      <w:r>
        <w:rPr>
          <w:lang w:eastAsia="ko-KR"/>
        </w:rPr>
        <w:t>Finer granularity of TA indication (1.3.3)</w:t>
      </w:r>
    </w:p>
    <w:p>
      <w:pPr>
        <w:pStyle w:val="71"/>
        <w:numPr>
          <w:ilvl w:val="0"/>
          <w:numId w:val="0"/>
        </w:numPr>
        <w:rPr>
          <w:b/>
          <w:lang w:eastAsia="ko-KR"/>
        </w:rPr>
      </w:pPr>
    </w:p>
    <w:p>
      <w:pPr>
        <w:rPr>
          <w:b/>
          <w:lang w:eastAsia="ko-KR"/>
        </w:rPr>
      </w:pPr>
      <w:r>
        <w:rPr>
          <w:b/>
          <w:lang w:eastAsia="ko-KR"/>
        </w:rPr>
        <w:t xml:space="preserve">Observation </w:t>
      </w:r>
      <w:r>
        <w:rPr>
          <w:rFonts w:hint="eastAsia"/>
          <w:b/>
          <w:lang w:val="en-US" w:eastAsia="zh-CN"/>
        </w:rPr>
        <w:t>3</w:t>
      </w:r>
      <w:r>
        <w:rPr>
          <w:b/>
          <w:lang w:eastAsia="ko-KR"/>
        </w:rPr>
        <w:t>: The potential enhancements after propagation delay compensation</w:t>
      </w:r>
      <w:r>
        <w:rPr>
          <w:rFonts w:hint="eastAsia"/>
          <w:b/>
          <w:lang w:val="en-US" w:eastAsia="zh-CN"/>
        </w:rPr>
        <w:t xml:space="preserve"> based on TA</w:t>
      </w:r>
      <w:r>
        <w:rPr>
          <w:b/>
          <w:lang w:eastAsia="ko-KR"/>
        </w:rPr>
        <w:t xml:space="preserve"> could include the following aspects:</w:t>
      </w:r>
    </w:p>
    <w:p>
      <w:pPr>
        <w:pStyle w:val="71"/>
        <w:numPr>
          <w:ilvl w:val="0"/>
          <w:numId w:val="14"/>
        </w:numPr>
        <w:ind w:firstLineChars="0"/>
        <w:rPr>
          <w:b/>
          <w:lang w:eastAsia="ko-KR"/>
        </w:rPr>
      </w:pPr>
      <w:r>
        <w:rPr>
          <w:b/>
          <w:lang w:eastAsia="ko-KR"/>
        </w:rPr>
        <w:t>More accurate DL signal detection (1.2)</w:t>
      </w:r>
    </w:p>
    <w:p>
      <w:pPr>
        <w:pStyle w:val="71"/>
        <w:numPr>
          <w:ilvl w:val="0"/>
          <w:numId w:val="14"/>
        </w:numPr>
        <w:ind w:firstLineChars="0"/>
        <w:rPr>
          <w:b/>
          <w:lang w:eastAsia="ko-KR"/>
        </w:rPr>
      </w:pPr>
      <w:r>
        <w:rPr>
          <w:b/>
          <w:lang w:eastAsia="ko-KR"/>
        </w:rPr>
        <w:t>More accurate UL signal transmission (1.3.1)</w:t>
      </w:r>
    </w:p>
    <w:p>
      <w:pPr>
        <w:pStyle w:val="71"/>
        <w:numPr>
          <w:ilvl w:val="0"/>
          <w:numId w:val="14"/>
        </w:numPr>
        <w:ind w:firstLineChars="0"/>
        <w:rPr>
          <w:b/>
          <w:lang w:eastAsia="ko-KR"/>
        </w:rPr>
      </w:pPr>
      <w:r>
        <w:rPr>
          <w:b/>
          <w:lang w:eastAsia="ko-KR"/>
        </w:rPr>
        <w:t>More accurate UL signal detection (1.3.2)</w:t>
      </w:r>
    </w:p>
    <w:p>
      <w:pPr>
        <w:pStyle w:val="71"/>
        <w:numPr>
          <w:ilvl w:val="0"/>
          <w:numId w:val="14"/>
        </w:numPr>
        <w:ind w:firstLineChars="0"/>
        <w:rPr>
          <w:b/>
          <w:lang w:eastAsia="ko-KR"/>
        </w:rPr>
      </w:pPr>
      <w:r>
        <w:rPr>
          <w:b/>
          <w:lang w:eastAsia="ko-KR"/>
        </w:rPr>
        <w:t>Finer granularity of TA indication (1.3.3)</w:t>
      </w:r>
    </w:p>
    <w:p>
      <w:pPr>
        <w:pStyle w:val="71"/>
        <w:numPr>
          <w:ilvl w:val="0"/>
          <w:numId w:val="0"/>
        </w:numPr>
        <w:rPr>
          <w:b/>
          <w:lang w:eastAsia="ko-KR"/>
        </w:rPr>
      </w:pPr>
    </w:p>
    <w:p>
      <w:pPr>
        <w:rPr>
          <w:lang w:eastAsia="ko-KR"/>
        </w:rPr>
      </w:pPr>
      <w:r>
        <w:rPr>
          <w:lang w:eastAsia="ko-KR"/>
        </w:rPr>
        <w:t xml:space="preserve">With the above Observation </w:t>
      </w:r>
      <w:r>
        <w:rPr>
          <w:rFonts w:hint="eastAsia"/>
          <w:lang w:val="en-US" w:eastAsia="zh-CN"/>
        </w:rPr>
        <w:t>2</w:t>
      </w:r>
      <w:r>
        <w:rPr>
          <w:lang w:eastAsia="ko-KR"/>
        </w:rPr>
        <w:t xml:space="preserve"> and </w:t>
      </w:r>
      <w:r>
        <w:rPr>
          <w:rFonts w:hint="eastAsia"/>
          <w:lang w:val="en-US" w:eastAsia="zh-CN"/>
        </w:rPr>
        <w:t>3</w:t>
      </w:r>
      <w:r>
        <w:rPr>
          <w:lang w:eastAsia="ko-KR"/>
        </w:rPr>
        <w:t>, RAN2 is kindly requested to discuss whether an LS to RAN1 and RAN4 is needed to consider the potential enhancements after the propagation delay compensation.</w:t>
      </w:r>
    </w:p>
    <w:p>
      <w:pPr>
        <w:rPr>
          <w:b/>
          <w:lang w:eastAsia="ko-KR"/>
        </w:rPr>
      </w:pPr>
      <w:r>
        <w:rPr>
          <w:b/>
          <w:lang w:eastAsia="ko-KR"/>
        </w:rPr>
        <w:t>Proposal 2: RAN2 is kindly requested to discuss whether an LS to RAN1 and RAN4 is needed to consider the following enhancements:</w:t>
      </w:r>
    </w:p>
    <w:p>
      <w:pPr>
        <w:pStyle w:val="71"/>
        <w:numPr>
          <w:ilvl w:val="0"/>
          <w:numId w:val="14"/>
        </w:numPr>
        <w:ind w:firstLineChars="0"/>
        <w:rPr>
          <w:b/>
          <w:lang w:eastAsia="ko-KR"/>
        </w:rPr>
      </w:pPr>
      <w:r>
        <w:rPr>
          <w:b/>
          <w:lang w:eastAsia="ko-KR"/>
        </w:rPr>
        <w:t>More accurate DL signal detection (1.2)</w:t>
      </w:r>
    </w:p>
    <w:p>
      <w:pPr>
        <w:pStyle w:val="71"/>
        <w:numPr>
          <w:ilvl w:val="0"/>
          <w:numId w:val="14"/>
        </w:numPr>
        <w:ind w:firstLineChars="0"/>
        <w:rPr>
          <w:b/>
          <w:lang w:eastAsia="ko-KR"/>
        </w:rPr>
      </w:pPr>
      <w:r>
        <w:rPr>
          <w:b/>
          <w:lang w:eastAsia="ko-KR"/>
        </w:rPr>
        <w:t>More accurate UL signal transmission (1.3.1)</w:t>
      </w:r>
    </w:p>
    <w:p>
      <w:pPr>
        <w:pStyle w:val="71"/>
        <w:numPr>
          <w:ilvl w:val="0"/>
          <w:numId w:val="14"/>
        </w:numPr>
        <w:ind w:firstLineChars="0"/>
        <w:rPr>
          <w:b/>
          <w:lang w:eastAsia="ko-KR"/>
        </w:rPr>
      </w:pPr>
      <w:r>
        <w:rPr>
          <w:b/>
          <w:lang w:eastAsia="ko-KR"/>
        </w:rPr>
        <w:t>More accurate UL signal detection (1.3.2)</w:t>
      </w:r>
    </w:p>
    <w:p>
      <w:pPr>
        <w:pStyle w:val="71"/>
        <w:numPr>
          <w:ilvl w:val="0"/>
          <w:numId w:val="14"/>
        </w:numPr>
        <w:ind w:firstLineChars="0"/>
        <w:rPr>
          <w:b/>
          <w:lang w:eastAsia="ko-KR"/>
        </w:rPr>
      </w:pPr>
      <w:r>
        <w:rPr>
          <w:b/>
          <w:lang w:eastAsia="ko-KR"/>
        </w:rPr>
        <w:t>Finer granularity of TA indication (1.3.3)</w:t>
      </w:r>
    </w:p>
    <w:p>
      <w:pPr>
        <w:pStyle w:val="2"/>
        <w:jc w:val="left"/>
      </w:pPr>
      <w:r>
        <w:t>Conclusions</w:t>
      </w:r>
    </w:p>
    <w:p>
      <w:pPr>
        <w:spacing w:afterLines="50" w:line="240" w:lineRule="auto"/>
        <w:jc w:val="left"/>
      </w:pPr>
      <w:r>
        <w:t>Based on the analysis given above, we have the following Observations and Proposals:</w:t>
      </w:r>
    </w:p>
    <w:p>
      <w:r>
        <w:rPr>
          <w:rFonts w:hint="eastAsia"/>
          <w:b/>
          <w:bCs/>
          <w:lang w:val="en-US" w:eastAsia="zh-CN"/>
        </w:rPr>
        <w:t>Observation 1：</w:t>
      </w:r>
      <w:r>
        <w:rPr>
          <w:rFonts w:hint="eastAsia"/>
          <w:b/>
          <w:bCs/>
          <w:szCs w:val="22"/>
          <w:lang w:val="en-US" w:eastAsia="zh-CN"/>
        </w:rPr>
        <w:t xml:space="preserve">Propagation delay compensation based on legacy Timing advance can be used to support the smart grid use case with </w:t>
      </w:r>
      <w:r>
        <w:rPr>
          <w:b/>
          <w:bCs/>
          <w:lang w:eastAsia="ko-KR"/>
        </w:rPr>
        <w:t>synchronization requirements of</w:t>
      </w:r>
      <w:r>
        <w:rPr>
          <w:rFonts w:hint="eastAsia"/>
          <w:b/>
          <w:bCs/>
          <w:lang w:val="en-US" w:eastAsia="zh-CN"/>
        </w:rPr>
        <w:t xml:space="preserve"> 1000ns</w:t>
      </w:r>
      <w:r>
        <w:rPr>
          <w:rFonts w:hint="eastAsia"/>
          <w:b/>
          <w:bCs/>
          <w:szCs w:val="22"/>
          <w:lang w:val="en-US" w:eastAsia="zh-CN"/>
        </w:rPr>
        <w:t>.</w:t>
      </w:r>
    </w:p>
    <w:p>
      <w:pPr>
        <w:rPr>
          <w:b/>
          <w:lang w:eastAsia="ko-KR"/>
        </w:rPr>
      </w:pPr>
      <w:r>
        <w:rPr>
          <w:b/>
          <w:lang w:eastAsia="ko-KR"/>
        </w:rPr>
        <w:t xml:space="preserve">Observation </w:t>
      </w:r>
      <w:r>
        <w:rPr>
          <w:rFonts w:hint="eastAsia"/>
          <w:b/>
          <w:lang w:val="en-US" w:eastAsia="zh-CN"/>
        </w:rPr>
        <w:t>2</w:t>
      </w:r>
      <w:r>
        <w:rPr>
          <w:b/>
          <w:lang w:eastAsia="ko-KR"/>
        </w:rPr>
        <w:t>: After the propagation delay compensation</w:t>
      </w:r>
      <w:r>
        <w:rPr>
          <w:rFonts w:hint="eastAsia"/>
          <w:b/>
          <w:lang w:val="en-US" w:eastAsia="zh-CN"/>
        </w:rPr>
        <w:t xml:space="preserve"> based on TA</w:t>
      </w:r>
      <w:r>
        <w:rPr>
          <w:b/>
          <w:lang w:eastAsia="ko-KR"/>
        </w:rPr>
        <w:t>, the inaccuracy of 15/30KHz SCS cannot fulfil the TSN clock synchronization requirements</w:t>
      </w:r>
      <w:r>
        <w:rPr>
          <w:rFonts w:hint="eastAsia"/>
          <w:b/>
          <w:lang w:val="en-US" w:eastAsia="zh-CN"/>
        </w:rPr>
        <w:t xml:space="preserve"> of 900ns for UE-to-UE time synchronization use case</w:t>
      </w:r>
      <w:r>
        <w:rPr>
          <w:b/>
          <w:lang w:eastAsia="ko-KR"/>
        </w:rPr>
        <w:t>.</w:t>
      </w:r>
    </w:p>
    <w:p>
      <w:pPr>
        <w:rPr>
          <w:b/>
          <w:lang w:eastAsia="ko-KR"/>
        </w:rPr>
      </w:pPr>
      <w:r>
        <w:rPr>
          <w:b/>
          <w:lang w:eastAsia="ko-KR"/>
        </w:rPr>
        <w:t xml:space="preserve">Observation </w:t>
      </w:r>
      <w:r>
        <w:rPr>
          <w:rFonts w:hint="eastAsia"/>
          <w:b/>
          <w:lang w:val="en-US" w:eastAsia="zh-CN"/>
        </w:rPr>
        <w:t>3</w:t>
      </w:r>
      <w:r>
        <w:rPr>
          <w:b/>
          <w:lang w:eastAsia="ko-KR"/>
        </w:rPr>
        <w:t>: The potential enhancements after propagation delay compensation</w:t>
      </w:r>
      <w:r>
        <w:rPr>
          <w:rFonts w:hint="eastAsia"/>
          <w:b/>
          <w:lang w:val="en-US" w:eastAsia="zh-CN"/>
        </w:rPr>
        <w:t xml:space="preserve"> based on TA</w:t>
      </w:r>
      <w:r>
        <w:rPr>
          <w:b/>
          <w:lang w:eastAsia="ko-KR"/>
        </w:rPr>
        <w:t xml:space="preserve"> could include the following aspects:</w:t>
      </w:r>
    </w:p>
    <w:p>
      <w:pPr>
        <w:pStyle w:val="71"/>
        <w:numPr>
          <w:ilvl w:val="0"/>
          <w:numId w:val="14"/>
        </w:numPr>
        <w:ind w:firstLineChars="0"/>
        <w:rPr>
          <w:b/>
          <w:lang w:eastAsia="ko-KR"/>
        </w:rPr>
      </w:pPr>
      <w:r>
        <w:rPr>
          <w:b/>
          <w:lang w:eastAsia="ko-KR"/>
        </w:rPr>
        <w:t>More accurate DL signal detection (1.2)</w:t>
      </w:r>
    </w:p>
    <w:p>
      <w:pPr>
        <w:pStyle w:val="71"/>
        <w:numPr>
          <w:ilvl w:val="0"/>
          <w:numId w:val="14"/>
        </w:numPr>
        <w:ind w:firstLineChars="0"/>
        <w:rPr>
          <w:b/>
          <w:lang w:eastAsia="ko-KR"/>
        </w:rPr>
      </w:pPr>
      <w:r>
        <w:rPr>
          <w:b/>
          <w:lang w:eastAsia="ko-KR"/>
        </w:rPr>
        <w:t>More accurate UL signal transmission (1.3.1)</w:t>
      </w:r>
    </w:p>
    <w:p>
      <w:pPr>
        <w:pStyle w:val="71"/>
        <w:numPr>
          <w:ilvl w:val="0"/>
          <w:numId w:val="14"/>
        </w:numPr>
        <w:ind w:firstLineChars="0"/>
        <w:rPr>
          <w:b/>
          <w:lang w:eastAsia="ko-KR"/>
        </w:rPr>
      </w:pPr>
      <w:r>
        <w:rPr>
          <w:b/>
          <w:lang w:eastAsia="ko-KR"/>
        </w:rPr>
        <w:t>More accurate UL signal detection (1.3.2)</w:t>
      </w:r>
    </w:p>
    <w:p>
      <w:pPr>
        <w:pStyle w:val="71"/>
        <w:numPr>
          <w:ilvl w:val="0"/>
          <w:numId w:val="14"/>
        </w:numPr>
        <w:ind w:firstLineChars="0"/>
        <w:rPr>
          <w:b/>
          <w:lang w:eastAsia="ko-KR"/>
        </w:rPr>
      </w:pPr>
      <w:r>
        <w:rPr>
          <w:b/>
          <w:lang w:eastAsia="ko-KR"/>
        </w:rPr>
        <w:t>Finer granularity of TA indication (1.3.3)</w:t>
      </w:r>
    </w:p>
    <w:p>
      <w:pPr>
        <w:rPr>
          <w:b/>
          <w:lang w:eastAsia="ko-KR"/>
        </w:rPr>
      </w:pPr>
      <w:r>
        <w:rPr>
          <w:b/>
          <w:lang w:eastAsia="ko-KR"/>
        </w:rPr>
        <w:t>Proposal 1: N</w:t>
      </w:r>
      <w:r>
        <w:rPr>
          <w:b/>
          <w:vertAlign w:val="subscript"/>
          <w:lang w:eastAsia="ko-KR"/>
        </w:rPr>
        <w:t>TA</w:t>
      </w:r>
      <w:r>
        <w:rPr>
          <w:b/>
          <w:lang w:eastAsia="ko-KR"/>
        </w:rPr>
        <w:t>/2 is used for the propagation delay compensation of the reference time.</w:t>
      </w:r>
    </w:p>
    <w:p>
      <w:pPr>
        <w:rPr>
          <w:b/>
          <w:lang w:eastAsia="ko-KR"/>
        </w:rPr>
      </w:pPr>
      <w:r>
        <w:rPr>
          <w:b/>
          <w:lang w:eastAsia="ko-KR"/>
        </w:rPr>
        <w:t>Proposal 2: RAN2 is kindly requested to discuss whether an LS to RAN1 and RAN4 is needed to consider the following enhancements:</w:t>
      </w:r>
    </w:p>
    <w:p>
      <w:pPr>
        <w:pStyle w:val="71"/>
        <w:numPr>
          <w:ilvl w:val="0"/>
          <w:numId w:val="14"/>
        </w:numPr>
        <w:ind w:firstLineChars="0"/>
        <w:rPr>
          <w:b/>
          <w:lang w:eastAsia="ko-KR"/>
        </w:rPr>
      </w:pPr>
      <w:r>
        <w:rPr>
          <w:b/>
          <w:lang w:eastAsia="ko-KR"/>
        </w:rPr>
        <w:t>More accurate DL signal detection (1.2)</w:t>
      </w:r>
    </w:p>
    <w:p>
      <w:pPr>
        <w:pStyle w:val="71"/>
        <w:numPr>
          <w:ilvl w:val="0"/>
          <w:numId w:val="14"/>
        </w:numPr>
        <w:ind w:firstLineChars="0"/>
        <w:rPr>
          <w:b/>
          <w:lang w:eastAsia="ko-KR"/>
        </w:rPr>
      </w:pPr>
      <w:r>
        <w:rPr>
          <w:b/>
          <w:lang w:eastAsia="ko-KR"/>
        </w:rPr>
        <w:t>More accurate UL signal transmission (1.3.1)</w:t>
      </w:r>
    </w:p>
    <w:p>
      <w:pPr>
        <w:pStyle w:val="71"/>
        <w:numPr>
          <w:ilvl w:val="0"/>
          <w:numId w:val="14"/>
        </w:numPr>
        <w:ind w:firstLineChars="0"/>
        <w:rPr>
          <w:b/>
          <w:lang w:eastAsia="ko-KR"/>
        </w:rPr>
      </w:pPr>
      <w:r>
        <w:rPr>
          <w:b/>
          <w:lang w:eastAsia="ko-KR"/>
        </w:rPr>
        <w:t>More accurate UL signal detection (1.3.2)</w:t>
      </w:r>
    </w:p>
    <w:p>
      <w:pPr>
        <w:pStyle w:val="71"/>
        <w:numPr>
          <w:ilvl w:val="0"/>
          <w:numId w:val="14"/>
        </w:numPr>
        <w:ind w:firstLineChars="0"/>
      </w:pPr>
      <w:r>
        <w:rPr>
          <w:b/>
          <w:lang w:eastAsia="ko-KR"/>
        </w:rPr>
        <w:t>Finer granularity of TA indication (1.3.3)</w:t>
      </w:r>
    </w:p>
    <w:p>
      <w:pPr>
        <w:pStyle w:val="2"/>
        <w:spacing w:before="180" w:line="240" w:lineRule="auto"/>
        <w:ind w:left="0" w:firstLine="0"/>
        <w:jc w:val="left"/>
      </w:pPr>
      <w:bookmarkStart w:id="5" w:name="_Toc502437832"/>
      <w:r>
        <w:t>Reference</w:t>
      </w:r>
    </w:p>
    <w:bookmarkEnd w:id="5"/>
    <w:p>
      <w:pPr>
        <w:spacing w:afterLines="50" w:line="240" w:lineRule="auto"/>
        <w:jc w:val="left"/>
      </w:pPr>
      <w:r>
        <w:t>[1] RP-201310, Nokia, “Revised WID: Enhanced Industrial Internet of Things (IoT) and ultra-reliable and low latency communication (URLLC) support for NR”.</w:t>
      </w:r>
    </w:p>
    <w:p>
      <w:pPr>
        <w:spacing w:afterLines="50" w:line="240" w:lineRule="auto"/>
        <w:jc w:val="left"/>
      </w:pPr>
      <w:r>
        <w:t>[2] R2-1900838, vivo, “Potential enhancements on the reference time accuracy”.</w:t>
      </w:r>
    </w:p>
    <w:p>
      <w:pPr>
        <w:spacing w:afterLines="50" w:line="240" w:lineRule="auto"/>
        <w:jc w:val="left"/>
      </w:pPr>
      <w:r>
        <w:t>[3] R2-1818254, NTT DOCOMO, INC.</w:t>
      </w:r>
      <w:r>
        <w:rPr>
          <w:rFonts w:hint="eastAsia"/>
        </w:rPr>
        <w:t>,</w:t>
      </w:r>
      <w:r>
        <w:t xml:space="preserve"> “Time Synchronisation for IIOT”.</w:t>
      </w:r>
    </w:p>
    <w:p>
      <w:pPr>
        <w:spacing w:afterLines="50" w:line="240" w:lineRule="auto"/>
        <w:jc w:val="left"/>
      </w:pPr>
      <w:r>
        <w:t>[4] R1-1900935, Nokia, “Discussion on the RAN2 LS on TSN requirements evaluation”.</w:t>
      </w:r>
    </w:p>
    <w:p>
      <w:pPr>
        <w:spacing w:afterLines="50" w:line="240" w:lineRule="auto"/>
        <w:jc w:val="left"/>
      </w:pPr>
      <w:r>
        <w:t>[5] 3GPP TR 22.104, “Service requirements for cyber-physical control applications in vertical domains”.</w:t>
      </w:r>
    </w:p>
    <w:p>
      <w:pPr>
        <w:pStyle w:val="2"/>
        <w:spacing w:before="180" w:line="240" w:lineRule="auto"/>
        <w:ind w:left="0" w:firstLine="0"/>
        <w:jc w:val="left"/>
      </w:pPr>
      <w:r>
        <w:t>Annex A</w:t>
      </w:r>
    </w:p>
    <w:p>
      <w:pPr>
        <w:spacing w:afterLines="50" w:line="240" w:lineRule="auto"/>
        <w:jc w:val="left"/>
      </w:pPr>
      <w:r>
        <w:t>The following texts are extracted from [4]:</w:t>
      </w:r>
    </w:p>
    <w:tbl>
      <w:tblPr>
        <w:tblStyle w:val="27"/>
        <w:tblW w:w="11080"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4" w:hRule="atLeast"/>
        </w:trPr>
        <w:tc>
          <w:tcPr>
            <w:tcW w:w="11080" w:type="dxa"/>
          </w:tcPr>
          <w:p>
            <w:pPr>
              <w:pStyle w:val="4"/>
              <w:numPr>
                <w:ilvl w:val="0"/>
                <w:numId w:val="0"/>
              </w:numPr>
              <w:ind w:left="720" w:hanging="720"/>
              <w:rPr>
                <w:lang w:eastAsia="zh-CN"/>
              </w:rPr>
            </w:pPr>
            <w:r>
              <w:rPr>
                <w:lang w:eastAsia="zh-CN"/>
              </w:rPr>
              <w:t>3.2.1 gNB transmit time alignment error (TE</w:t>
            </w:r>
            <w:r>
              <w:rPr>
                <w:vertAlign w:val="subscript"/>
                <w:lang w:eastAsia="zh-CN"/>
              </w:rPr>
              <w:t>TAE</w:t>
            </w:r>
            <w:r>
              <w:rPr>
                <w:lang w:eastAsia="zh-CN"/>
              </w:rPr>
              <w:t>)</w:t>
            </w:r>
          </w:p>
          <w:p>
            <w:pPr>
              <w:rPr>
                <w:szCs w:val="22"/>
              </w:rPr>
            </w:pPr>
            <w:r>
              <w:rPr>
                <w:szCs w:val="22"/>
              </w:rPr>
              <w:t xml:space="preserve">The maximum gNB transmit time alignment error is defined in 38.104 Sec. 6.5.3. At a single carrier, the maximum error is to be within ±65ns. </w:t>
            </w:r>
          </w:p>
          <w:p>
            <w:pPr>
              <w:pStyle w:val="4"/>
              <w:numPr>
                <w:ilvl w:val="0"/>
                <w:numId w:val="0"/>
              </w:numPr>
              <w:ind w:left="720" w:hanging="720"/>
              <w:rPr>
                <w:lang w:eastAsia="zh-CN"/>
              </w:rPr>
            </w:pPr>
            <w:r>
              <w:rPr>
                <w:lang w:eastAsia="zh-CN"/>
              </w:rPr>
              <w:t xml:space="preserve">3.2.2 </w:t>
            </w:r>
            <w:r>
              <w:rPr>
                <w:szCs w:val="22"/>
                <w:lang w:eastAsia="zh-CN"/>
              </w:rPr>
              <w:t>Propagation delay (</w:t>
            </w:r>
            <w:r>
              <w:rPr>
                <w:iCs/>
                <w:szCs w:val="22"/>
                <w:lang w:eastAsia="zh-CN"/>
              </w:rPr>
              <w:t>TE</w:t>
            </w:r>
            <w:r>
              <w:rPr>
                <w:iCs/>
                <w:szCs w:val="22"/>
                <w:vertAlign w:val="subscript"/>
                <w:lang w:eastAsia="zh-CN"/>
              </w:rPr>
              <w:t>PD</w:t>
            </w:r>
            <w:r>
              <w:rPr>
                <w:iCs/>
                <w:szCs w:val="22"/>
                <w:lang w:eastAsia="zh-CN"/>
              </w:rPr>
              <w:t>)</w:t>
            </w:r>
          </w:p>
          <w:p>
            <w:r>
              <w:t xml:space="preserve">This error source is only applicable for the case of small service areas without propagation delay / timing advance compensation. </w:t>
            </w:r>
          </w:p>
          <w:p>
            <w:pPr>
              <w:pStyle w:val="4"/>
              <w:numPr>
                <w:ilvl w:val="0"/>
                <w:numId w:val="0"/>
              </w:numPr>
              <w:ind w:left="720" w:hanging="720"/>
              <w:rPr>
                <w:lang w:eastAsia="zh-CN"/>
              </w:rPr>
            </w:pPr>
            <w:r>
              <w:rPr>
                <w:lang w:eastAsia="zh-CN"/>
              </w:rPr>
              <w:t>3.2.4 UE transmit timing error (TE</w:t>
            </w:r>
            <w:r>
              <w:rPr>
                <w:vertAlign w:val="subscript"/>
                <w:lang w:eastAsia="zh-CN"/>
              </w:rPr>
              <w:t>UE-DL-to-TX</w:t>
            </w:r>
            <w:r>
              <w:rPr>
                <w:lang w:eastAsia="zh-CN"/>
              </w:rPr>
              <w:t>)</w:t>
            </w:r>
          </w:p>
          <w:p>
            <w:pPr>
              <w:rPr>
                <w:szCs w:val="22"/>
              </w:rPr>
            </w:pPr>
            <w:r>
              <w:rPr>
                <w:szCs w:val="22"/>
              </w:rPr>
              <w:t xml:space="preserve">The maximum transmit timing error which is allowed according to 38.133 Sec. 7.1.2 is given by the following table: </w:t>
            </w:r>
          </w:p>
          <w:p>
            <w:pPr>
              <w:pStyle w:val="80"/>
              <w:rPr>
                <w:sz w:val="18"/>
              </w:rPr>
            </w:pPr>
            <w:r>
              <w:rPr>
                <w:sz w:val="18"/>
              </w:rPr>
              <w:t>Table 7.1.2-1: T</w:t>
            </w:r>
            <w:r>
              <w:rPr>
                <w:sz w:val="18"/>
                <w:vertAlign w:val="subscript"/>
              </w:rPr>
              <w:t>e</w:t>
            </w:r>
            <w:r>
              <w:rPr>
                <w:sz w:val="18"/>
              </w:rPr>
              <w:t xml:space="preserve"> Timing Error Limit</w:t>
            </w:r>
          </w:p>
          <w:tbl>
            <w:tblPr>
              <w:tblStyle w:val="26"/>
              <w:tblW w:w="71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1782"/>
              <w:gridCol w:w="1783"/>
              <w:gridCol w:w="2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Align w:val="center"/>
                </w:tcPr>
                <w:p>
                  <w:pPr>
                    <w:keepNext/>
                    <w:keepLines/>
                    <w:spacing w:after="0"/>
                    <w:jc w:val="center"/>
                    <w:rPr>
                      <w:sz w:val="18"/>
                    </w:rPr>
                  </w:pPr>
                  <w:r>
                    <w:rPr>
                      <w:rFonts w:ascii="Arial" w:hAnsi="Arial"/>
                      <w:b/>
                      <w:sz w:val="16"/>
                    </w:rPr>
                    <w:t>Frequency Range</w:t>
                  </w:r>
                </w:p>
              </w:tc>
              <w:tc>
                <w:tcPr>
                  <w:tcW w:w="1782" w:type="dxa"/>
                  <w:vAlign w:val="center"/>
                </w:tcPr>
                <w:p>
                  <w:pPr>
                    <w:keepNext/>
                    <w:keepLines/>
                    <w:spacing w:after="0"/>
                    <w:jc w:val="center"/>
                    <w:rPr>
                      <w:sz w:val="18"/>
                    </w:rPr>
                  </w:pPr>
                  <w:r>
                    <w:rPr>
                      <w:rFonts w:ascii="Arial" w:hAnsi="Arial"/>
                      <w:b/>
                      <w:sz w:val="16"/>
                    </w:rPr>
                    <w:t>SCS of SSB signals (KHz)</w:t>
                  </w:r>
                </w:p>
              </w:tc>
              <w:tc>
                <w:tcPr>
                  <w:tcW w:w="1783" w:type="dxa"/>
                  <w:vAlign w:val="center"/>
                </w:tcPr>
                <w:p>
                  <w:pPr>
                    <w:keepNext/>
                    <w:keepLines/>
                    <w:spacing w:after="0"/>
                    <w:jc w:val="center"/>
                    <w:rPr>
                      <w:sz w:val="18"/>
                    </w:rPr>
                  </w:pPr>
                  <w:r>
                    <w:rPr>
                      <w:rFonts w:ascii="Arial" w:hAnsi="Arial"/>
                      <w:b/>
                      <w:sz w:val="16"/>
                    </w:rPr>
                    <w:t>SCS of uplink signals s(KHz)</w:t>
                  </w:r>
                </w:p>
              </w:tc>
              <w:tc>
                <w:tcPr>
                  <w:tcW w:w="2117" w:type="dxa"/>
                  <w:vAlign w:val="center"/>
                </w:tcPr>
                <w:p>
                  <w:pPr>
                    <w:keepNext/>
                    <w:keepLines/>
                    <w:spacing w:after="0"/>
                    <w:jc w:val="center"/>
                    <w:rPr>
                      <w:sz w:val="18"/>
                    </w:rPr>
                  </w:pPr>
                  <w:r>
                    <w:rPr>
                      <w:rFonts w:ascii="Arial" w:hAnsi="Arial"/>
                      <w:b/>
                      <w:sz w:val="16"/>
                    </w:rPr>
                    <w:t>T</w:t>
                  </w:r>
                  <w:r>
                    <w:rPr>
                      <w:rFonts w:ascii="Arial" w:hAnsi="Arial"/>
                      <w:b/>
                      <w:sz w:val="16"/>
                      <w:vertAlign w:val="subscript"/>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restart"/>
                  <w:vAlign w:val="center"/>
                </w:tcPr>
                <w:p>
                  <w:pPr>
                    <w:keepNext/>
                    <w:keepLines/>
                    <w:spacing w:after="0"/>
                    <w:jc w:val="center"/>
                    <w:rPr>
                      <w:sz w:val="18"/>
                    </w:rPr>
                  </w:pPr>
                  <w:r>
                    <w:rPr>
                      <w:rFonts w:ascii="Arial" w:hAnsi="Arial"/>
                      <w:sz w:val="16"/>
                    </w:rPr>
                    <w:t>1</w:t>
                  </w:r>
                </w:p>
              </w:tc>
              <w:tc>
                <w:tcPr>
                  <w:tcW w:w="1782" w:type="dxa"/>
                  <w:vMerge w:val="restart"/>
                  <w:vAlign w:val="center"/>
                </w:tcPr>
                <w:p>
                  <w:pPr>
                    <w:keepNext/>
                    <w:keepLines/>
                    <w:spacing w:after="0"/>
                    <w:jc w:val="center"/>
                    <w:rPr>
                      <w:sz w:val="18"/>
                    </w:rPr>
                  </w:pPr>
                  <w:r>
                    <w:rPr>
                      <w:rFonts w:ascii="Arial" w:hAnsi="Arial"/>
                      <w:sz w:val="16"/>
                    </w:rPr>
                    <w:t>15</w:t>
                  </w:r>
                </w:p>
              </w:tc>
              <w:tc>
                <w:tcPr>
                  <w:tcW w:w="1783" w:type="dxa"/>
                </w:tcPr>
                <w:p>
                  <w:pPr>
                    <w:keepNext/>
                    <w:keepLines/>
                    <w:spacing w:after="0"/>
                    <w:jc w:val="center"/>
                    <w:rPr>
                      <w:sz w:val="18"/>
                    </w:rPr>
                  </w:pPr>
                  <w:r>
                    <w:rPr>
                      <w:rFonts w:ascii="Arial" w:hAnsi="Arial"/>
                      <w:sz w:val="16"/>
                    </w:rPr>
                    <w:t>15</w:t>
                  </w:r>
                </w:p>
              </w:tc>
              <w:tc>
                <w:tcPr>
                  <w:tcW w:w="2117" w:type="dxa"/>
                </w:tcPr>
                <w:p>
                  <w:pPr>
                    <w:keepNext/>
                    <w:keepLines/>
                    <w:spacing w:after="0"/>
                    <w:jc w:val="center"/>
                    <w:rPr>
                      <w:sz w:val="18"/>
                    </w:rPr>
                  </w:pPr>
                  <w:r>
                    <w:rPr>
                      <w:rFonts w:ascii="Arial" w:hAnsi="Arial"/>
                      <w:sz w:val="16"/>
                    </w:rPr>
                    <w:t>[12]*64*T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continue"/>
                  <w:vAlign w:val="center"/>
                </w:tcPr>
                <w:p>
                  <w:pPr>
                    <w:keepNext/>
                    <w:keepLines/>
                    <w:spacing w:after="0"/>
                    <w:jc w:val="center"/>
                    <w:rPr>
                      <w:sz w:val="18"/>
                    </w:rPr>
                  </w:pPr>
                </w:p>
              </w:tc>
              <w:tc>
                <w:tcPr>
                  <w:tcW w:w="1782" w:type="dxa"/>
                  <w:vMerge w:val="continue"/>
                  <w:vAlign w:val="center"/>
                </w:tcPr>
                <w:p>
                  <w:pPr>
                    <w:keepNext/>
                    <w:keepLines/>
                    <w:spacing w:after="0"/>
                    <w:jc w:val="center"/>
                    <w:rPr>
                      <w:sz w:val="18"/>
                    </w:rPr>
                  </w:pPr>
                </w:p>
              </w:tc>
              <w:tc>
                <w:tcPr>
                  <w:tcW w:w="1783" w:type="dxa"/>
                </w:tcPr>
                <w:p>
                  <w:pPr>
                    <w:keepNext/>
                    <w:keepLines/>
                    <w:spacing w:after="0"/>
                    <w:jc w:val="center"/>
                    <w:rPr>
                      <w:sz w:val="18"/>
                    </w:rPr>
                  </w:pPr>
                  <w:r>
                    <w:rPr>
                      <w:rFonts w:ascii="Arial" w:hAnsi="Arial"/>
                      <w:sz w:val="16"/>
                    </w:rPr>
                    <w:t>30</w:t>
                  </w:r>
                </w:p>
              </w:tc>
              <w:tc>
                <w:tcPr>
                  <w:tcW w:w="2117" w:type="dxa"/>
                </w:tcPr>
                <w:p>
                  <w:pPr>
                    <w:keepNext/>
                    <w:keepLines/>
                    <w:spacing w:after="0"/>
                    <w:jc w:val="center"/>
                    <w:rPr>
                      <w:sz w:val="18"/>
                    </w:rPr>
                  </w:pPr>
                  <w:r>
                    <w:rPr>
                      <w:rFonts w:ascii="Arial" w:hAnsi="Arial"/>
                      <w:sz w:val="16"/>
                    </w:rPr>
                    <w:t>[10]*64*T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continue"/>
                  <w:vAlign w:val="center"/>
                </w:tcPr>
                <w:p>
                  <w:pPr>
                    <w:keepNext/>
                    <w:keepLines/>
                    <w:spacing w:after="0"/>
                    <w:jc w:val="center"/>
                    <w:rPr>
                      <w:sz w:val="18"/>
                    </w:rPr>
                  </w:pPr>
                </w:p>
              </w:tc>
              <w:tc>
                <w:tcPr>
                  <w:tcW w:w="1782" w:type="dxa"/>
                  <w:vMerge w:val="continue"/>
                  <w:vAlign w:val="center"/>
                </w:tcPr>
                <w:p>
                  <w:pPr>
                    <w:keepNext/>
                    <w:keepLines/>
                    <w:spacing w:after="0"/>
                    <w:jc w:val="center"/>
                    <w:rPr>
                      <w:sz w:val="18"/>
                    </w:rPr>
                  </w:pPr>
                </w:p>
              </w:tc>
              <w:tc>
                <w:tcPr>
                  <w:tcW w:w="1783" w:type="dxa"/>
                </w:tcPr>
                <w:p>
                  <w:pPr>
                    <w:keepNext/>
                    <w:keepLines/>
                    <w:spacing w:after="0"/>
                    <w:jc w:val="center"/>
                    <w:rPr>
                      <w:sz w:val="18"/>
                    </w:rPr>
                  </w:pPr>
                  <w:r>
                    <w:rPr>
                      <w:rFonts w:ascii="Arial" w:hAnsi="Arial"/>
                      <w:sz w:val="16"/>
                    </w:rPr>
                    <w:t>60</w:t>
                  </w:r>
                </w:p>
              </w:tc>
              <w:tc>
                <w:tcPr>
                  <w:tcW w:w="2117" w:type="dxa"/>
                </w:tcPr>
                <w:p>
                  <w:pPr>
                    <w:keepNext/>
                    <w:keepLines/>
                    <w:spacing w:after="0"/>
                    <w:jc w:val="center"/>
                    <w:rPr>
                      <w:sz w:val="18"/>
                    </w:rPr>
                  </w:pPr>
                  <w:r>
                    <w:rPr>
                      <w:rFonts w:ascii="Arial" w:hAnsi="Arial"/>
                      <w:sz w:val="16"/>
                    </w:rPr>
                    <w:t>[10]*64*T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continue"/>
                  <w:vAlign w:val="center"/>
                </w:tcPr>
                <w:p>
                  <w:pPr>
                    <w:keepNext/>
                    <w:keepLines/>
                    <w:spacing w:after="0"/>
                    <w:jc w:val="center"/>
                    <w:rPr>
                      <w:sz w:val="18"/>
                    </w:rPr>
                  </w:pPr>
                </w:p>
              </w:tc>
              <w:tc>
                <w:tcPr>
                  <w:tcW w:w="1782" w:type="dxa"/>
                  <w:vMerge w:val="restart"/>
                  <w:vAlign w:val="center"/>
                </w:tcPr>
                <w:p>
                  <w:pPr>
                    <w:keepNext/>
                    <w:keepLines/>
                    <w:spacing w:after="0"/>
                    <w:jc w:val="center"/>
                    <w:rPr>
                      <w:sz w:val="18"/>
                    </w:rPr>
                  </w:pPr>
                  <w:r>
                    <w:rPr>
                      <w:rFonts w:ascii="Arial" w:hAnsi="Arial"/>
                      <w:sz w:val="16"/>
                    </w:rPr>
                    <w:t>30</w:t>
                  </w:r>
                </w:p>
              </w:tc>
              <w:tc>
                <w:tcPr>
                  <w:tcW w:w="1783" w:type="dxa"/>
                </w:tcPr>
                <w:p>
                  <w:pPr>
                    <w:keepNext/>
                    <w:keepLines/>
                    <w:spacing w:after="0"/>
                    <w:jc w:val="center"/>
                    <w:rPr>
                      <w:sz w:val="18"/>
                    </w:rPr>
                  </w:pPr>
                  <w:r>
                    <w:rPr>
                      <w:rFonts w:ascii="Arial" w:hAnsi="Arial"/>
                      <w:sz w:val="16"/>
                    </w:rPr>
                    <w:t>15</w:t>
                  </w:r>
                </w:p>
              </w:tc>
              <w:tc>
                <w:tcPr>
                  <w:tcW w:w="2117" w:type="dxa"/>
                </w:tcPr>
                <w:p>
                  <w:pPr>
                    <w:keepNext/>
                    <w:keepLines/>
                    <w:spacing w:after="0"/>
                    <w:jc w:val="center"/>
                    <w:rPr>
                      <w:sz w:val="18"/>
                    </w:rPr>
                  </w:pPr>
                  <w:r>
                    <w:rPr>
                      <w:rFonts w:ascii="Arial" w:hAnsi="Arial"/>
                      <w:sz w:val="16"/>
                    </w:rPr>
                    <w:t>[8]*64*T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continue"/>
                  <w:vAlign w:val="center"/>
                </w:tcPr>
                <w:p>
                  <w:pPr>
                    <w:keepNext/>
                    <w:keepLines/>
                    <w:spacing w:after="0"/>
                    <w:jc w:val="center"/>
                    <w:rPr>
                      <w:sz w:val="18"/>
                    </w:rPr>
                  </w:pPr>
                </w:p>
              </w:tc>
              <w:tc>
                <w:tcPr>
                  <w:tcW w:w="1782" w:type="dxa"/>
                  <w:vMerge w:val="continue"/>
                  <w:vAlign w:val="center"/>
                </w:tcPr>
                <w:p>
                  <w:pPr>
                    <w:keepNext/>
                    <w:keepLines/>
                    <w:spacing w:after="0"/>
                    <w:jc w:val="center"/>
                    <w:rPr>
                      <w:sz w:val="18"/>
                    </w:rPr>
                  </w:pPr>
                </w:p>
              </w:tc>
              <w:tc>
                <w:tcPr>
                  <w:tcW w:w="1783" w:type="dxa"/>
                </w:tcPr>
                <w:p>
                  <w:pPr>
                    <w:keepNext/>
                    <w:keepLines/>
                    <w:spacing w:after="0"/>
                    <w:jc w:val="center"/>
                    <w:rPr>
                      <w:sz w:val="18"/>
                    </w:rPr>
                  </w:pPr>
                  <w:r>
                    <w:rPr>
                      <w:rFonts w:ascii="Arial" w:hAnsi="Arial"/>
                      <w:sz w:val="16"/>
                    </w:rPr>
                    <w:t>30</w:t>
                  </w:r>
                </w:p>
              </w:tc>
              <w:tc>
                <w:tcPr>
                  <w:tcW w:w="2117" w:type="dxa"/>
                </w:tcPr>
                <w:p>
                  <w:pPr>
                    <w:keepNext/>
                    <w:keepLines/>
                    <w:spacing w:after="0"/>
                    <w:jc w:val="center"/>
                    <w:rPr>
                      <w:sz w:val="18"/>
                    </w:rPr>
                  </w:pPr>
                  <w:r>
                    <w:rPr>
                      <w:rFonts w:ascii="Arial" w:hAnsi="Arial"/>
                      <w:sz w:val="16"/>
                    </w:rPr>
                    <w:t>[8]*64*T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continue"/>
                  <w:vAlign w:val="center"/>
                </w:tcPr>
                <w:p>
                  <w:pPr>
                    <w:keepNext/>
                    <w:keepLines/>
                    <w:spacing w:after="0"/>
                    <w:jc w:val="center"/>
                    <w:rPr>
                      <w:sz w:val="18"/>
                    </w:rPr>
                  </w:pPr>
                </w:p>
              </w:tc>
              <w:tc>
                <w:tcPr>
                  <w:tcW w:w="1782" w:type="dxa"/>
                  <w:vMerge w:val="continue"/>
                  <w:vAlign w:val="center"/>
                </w:tcPr>
                <w:p>
                  <w:pPr>
                    <w:keepNext/>
                    <w:keepLines/>
                    <w:spacing w:after="0"/>
                    <w:jc w:val="center"/>
                    <w:rPr>
                      <w:sz w:val="18"/>
                    </w:rPr>
                  </w:pPr>
                </w:p>
              </w:tc>
              <w:tc>
                <w:tcPr>
                  <w:tcW w:w="1783" w:type="dxa"/>
                </w:tcPr>
                <w:p>
                  <w:pPr>
                    <w:keepNext/>
                    <w:keepLines/>
                    <w:spacing w:after="0"/>
                    <w:jc w:val="center"/>
                    <w:rPr>
                      <w:sz w:val="18"/>
                    </w:rPr>
                  </w:pPr>
                  <w:r>
                    <w:rPr>
                      <w:rFonts w:ascii="Arial" w:hAnsi="Arial"/>
                      <w:sz w:val="16"/>
                    </w:rPr>
                    <w:t>60</w:t>
                  </w:r>
                </w:p>
              </w:tc>
              <w:tc>
                <w:tcPr>
                  <w:tcW w:w="2117" w:type="dxa"/>
                </w:tcPr>
                <w:p>
                  <w:pPr>
                    <w:keepNext/>
                    <w:keepLines/>
                    <w:spacing w:after="0"/>
                    <w:jc w:val="center"/>
                    <w:rPr>
                      <w:sz w:val="18"/>
                    </w:rPr>
                  </w:pPr>
                  <w:r>
                    <w:rPr>
                      <w:rFonts w:ascii="Arial" w:hAnsi="Arial"/>
                      <w:sz w:val="16"/>
                    </w:rPr>
                    <w:t>[7]*64*T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restart"/>
                  <w:vAlign w:val="center"/>
                </w:tcPr>
                <w:p>
                  <w:pPr>
                    <w:keepNext/>
                    <w:keepLines/>
                    <w:spacing w:after="0"/>
                    <w:jc w:val="center"/>
                    <w:rPr>
                      <w:sz w:val="18"/>
                    </w:rPr>
                  </w:pPr>
                  <w:r>
                    <w:rPr>
                      <w:rFonts w:ascii="Arial" w:hAnsi="Arial"/>
                      <w:sz w:val="16"/>
                    </w:rPr>
                    <w:t>2</w:t>
                  </w:r>
                </w:p>
              </w:tc>
              <w:tc>
                <w:tcPr>
                  <w:tcW w:w="1782" w:type="dxa"/>
                  <w:vMerge w:val="restart"/>
                  <w:vAlign w:val="center"/>
                </w:tcPr>
                <w:p>
                  <w:pPr>
                    <w:keepNext/>
                    <w:keepLines/>
                    <w:spacing w:after="0"/>
                    <w:jc w:val="center"/>
                    <w:rPr>
                      <w:sz w:val="18"/>
                    </w:rPr>
                  </w:pPr>
                  <w:r>
                    <w:rPr>
                      <w:rFonts w:ascii="Arial" w:hAnsi="Arial"/>
                      <w:sz w:val="16"/>
                    </w:rPr>
                    <w:t>120</w:t>
                  </w:r>
                </w:p>
              </w:tc>
              <w:tc>
                <w:tcPr>
                  <w:tcW w:w="1783" w:type="dxa"/>
                </w:tcPr>
                <w:p>
                  <w:pPr>
                    <w:keepNext/>
                    <w:keepLines/>
                    <w:spacing w:after="0"/>
                    <w:jc w:val="center"/>
                    <w:rPr>
                      <w:sz w:val="18"/>
                    </w:rPr>
                  </w:pPr>
                  <w:r>
                    <w:rPr>
                      <w:rFonts w:ascii="Arial" w:hAnsi="Arial"/>
                      <w:sz w:val="16"/>
                    </w:rPr>
                    <w:t>60</w:t>
                  </w:r>
                </w:p>
              </w:tc>
              <w:tc>
                <w:tcPr>
                  <w:tcW w:w="2117" w:type="dxa"/>
                </w:tcPr>
                <w:p>
                  <w:pPr>
                    <w:keepNext/>
                    <w:keepLines/>
                    <w:spacing w:after="0"/>
                    <w:jc w:val="center"/>
                    <w:rPr>
                      <w:sz w:val="18"/>
                    </w:rPr>
                  </w:pPr>
                  <w:r>
                    <w:rPr>
                      <w:rFonts w:ascii="Arial" w:hAnsi="Arial"/>
                      <w:sz w:val="16"/>
                    </w:rPr>
                    <w:t>[3.5]*64*T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continue"/>
                  <w:vAlign w:val="center"/>
                </w:tcPr>
                <w:p>
                  <w:pPr>
                    <w:keepNext/>
                    <w:keepLines/>
                    <w:spacing w:after="0"/>
                    <w:jc w:val="center"/>
                    <w:rPr>
                      <w:sz w:val="18"/>
                    </w:rPr>
                  </w:pPr>
                </w:p>
              </w:tc>
              <w:tc>
                <w:tcPr>
                  <w:tcW w:w="1782" w:type="dxa"/>
                  <w:vMerge w:val="continue"/>
                  <w:vAlign w:val="center"/>
                </w:tcPr>
                <w:p>
                  <w:pPr>
                    <w:keepNext/>
                    <w:keepLines/>
                    <w:spacing w:after="0"/>
                    <w:jc w:val="center"/>
                    <w:rPr>
                      <w:sz w:val="18"/>
                    </w:rPr>
                  </w:pPr>
                </w:p>
              </w:tc>
              <w:tc>
                <w:tcPr>
                  <w:tcW w:w="1783" w:type="dxa"/>
                </w:tcPr>
                <w:p>
                  <w:pPr>
                    <w:keepNext/>
                    <w:keepLines/>
                    <w:spacing w:after="0"/>
                    <w:jc w:val="center"/>
                    <w:rPr>
                      <w:sz w:val="18"/>
                    </w:rPr>
                  </w:pPr>
                  <w:r>
                    <w:rPr>
                      <w:rFonts w:ascii="Arial" w:hAnsi="Arial"/>
                      <w:sz w:val="16"/>
                    </w:rPr>
                    <w:t>120</w:t>
                  </w:r>
                </w:p>
              </w:tc>
              <w:tc>
                <w:tcPr>
                  <w:tcW w:w="2117" w:type="dxa"/>
                </w:tcPr>
                <w:p>
                  <w:pPr>
                    <w:keepNext/>
                    <w:keepLines/>
                    <w:spacing w:after="0"/>
                    <w:jc w:val="center"/>
                    <w:rPr>
                      <w:sz w:val="18"/>
                    </w:rPr>
                  </w:pPr>
                  <w:r>
                    <w:rPr>
                      <w:rFonts w:ascii="Arial" w:hAnsi="Arial"/>
                      <w:sz w:val="16"/>
                    </w:rPr>
                    <w:t>[3.5]*64*T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continue"/>
                  <w:vAlign w:val="center"/>
                </w:tcPr>
                <w:p>
                  <w:pPr>
                    <w:keepNext/>
                    <w:keepLines/>
                    <w:spacing w:after="0"/>
                    <w:jc w:val="center"/>
                    <w:rPr>
                      <w:sz w:val="18"/>
                    </w:rPr>
                  </w:pPr>
                </w:p>
              </w:tc>
              <w:tc>
                <w:tcPr>
                  <w:tcW w:w="1782" w:type="dxa"/>
                  <w:vMerge w:val="restart"/>
                  <w:vAlign w:val="center"/>
                </w:tcPr>
                <w:p>
                  <w:pPr>
                    <w:keepNext/>
                    <w:keepLines/>
                    <w:spacing w:after="0"/>
                    <w:jc w:val="center"/>
                    <w:rPr>
                      <w:sz w:val="18"/>
                    </w:rPr>
                  </w:pPr>
                  <w:r>
                    <w:rPr>
                      <w:rFonts w:ascii="Arial" w:hAnsi="Arial"/>
                      <w:sz w:val="16"/>
                    </w:rPr>
                    <w:t>240</w:t>
                  </w:r>
                </w:p>
              </w:tc>
              <w:tc>
                <w:tcPr>
                  <w:tcW w:w="1783" w:type="dxa"/>
                </w:tcPr>
                <w:p>
                  <w:pPr>
                    <w:keepNext/>
                    <w:keepLines/>
                    <w:spacing w:after="0"/>
                    <w:jc w:val="center"/>
                    <w:rPr>
                      <w:sz w:val="18"/>
                    </w:rPr>
                  </w:pPr>
                  <w:r>
                    <w:rPr>
                      <w:rFonts w:ascii="Arial" w:hAnsi="Arial"/>
                      <w:sz w:val="16"/>
                    </w:rPr>
                    <w:t>60</w:t>
                  </w:r>
                </w:p>
              </w:tc>
              <w:tc>
                <w:tcPr>
                  <w:tcW w:w="2117" w:type="dxa"/>
                </w:tcPr>
                <w:p>
                  <w:pPr>
                    <w:keepNext/>
                    <w:keepLines/>
                    <w:spacing w:after="0"/>
                    <w:jc w:val="center"/>
                    <w:rPr>
                      <w:sz w:val="18"/>
                    </w:rPr>
                  </w:pPr>
                  <w:bookmarkStart w:id="6" w:name="OLE_LINK4"/>
                  <w:bookmarkStart w:id="7" w:name="OLE_LINK3"/>
                  <w:r>
                    <w:rPr>
                      <w:rFonts w:ascii="Arial" w:hAnsi="Arial"/>
                      <w:sz w:val="16"/>
                    </w:rPr>
                    <w:t>[3]*64*T</w:t>
                  </w:r>
                  <w:r>
                    <w:rPr>
                      <w:rFonts w:ascii="Arial" w:hAnsi="Arial"/>
                      <w:sz w:val="16"/>
                      <w:vertAlign w:val="subscript"/>
                    </w:rPr>
                    <w:t>c</w:t>
                  </w:r>
                  <w:bookmarkEnd w:id="6"/>
                  <w:bookmarkEnd w:id="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480" w:type="dxa"/>
                  <w:vMerge w:val="continue"/>
                </w:tcPr>
                <w:p>
                  <w:pPr>
                    <w:keepNext/>
                    <w:keepLines/>
                    <w:spacing w:after="0"/>
                    <w:jc w:val="center"/>
                    <w:rPr>
                      <w:sz w:val="18"/>
                    </w:rPr>
                  </w:pPr>
                </w:p>
              </w:tc>
              <w:tc>
                <w:tcPr>
                  <w:tcW w:w="1782" w:type="dxa"/>
                  <w:vMerge w:val="continue"/>
                </w:tcPr>
                <w:p>
                  <w:pPr>
                    <w:keepNext/>
                    <w:keepLines/>
                    <w:spacing w:after="0"/>
                    <w:jc w:val="center"/>
                    <w:rPr>
                      <w:sz w:val="18"/>
                    </w:rPr>
                  </w:pPr>
                </w:p>
              </w:tc>
              <w:tc>
                <w:tcPr>
                  <w:tcW w:w="1783" w:type="dxa"/>
                </w:tcPr>
                <w:p>
                  <w:pPr>
                    <w:keepNext/>
                    <w:keepLines/>
                    <w:spacing w:after="0"/>
                    <w:jc w:val="center"/>
                    <w:rPr>
                      <w:sz w:val="18"/>
                    </w:rPr>
                  </w:pPr>
                  <w:r>
                    <w:rPr>
                      <w:rFonts w:ascii="Arial" w:hAnsi="Arial"/>
                      <w:sz w:val="16"/>
                    </w:rPr>
                    <w:t>120</w:t>
                  </w:r>
                </w:p>
              </w:tc>
              <w:tc>
                <w:tcPr>
                  <w:tcW w:w="2117" w:type="dxa"/>
                </w:tcPr>
                <w:p>
                  <w:pPr>
                    <w:keepNext/>
                    <w:keepLines/>
                    <w:spacing w:after="0"/>
                    <w:jc w:val="center"/>
                    <w:rPr>
                      <w:sz w:val="18"/>
                    </w:rPr>
                  </w:pPr>
                  <w:r>
                    <w:rPr>
                      <w:rFonts w:ascii="Arial" w:hAnsi="Arial"/>
                      <w:sz w:val="16"/>
                    </w:rPr>
                    <w:t>[3]*64*T</w:t>
                  </w:r>
                  <w:r>
                    <w:rPr>
                      <w:rFonts w:ascii="Arial" w:hAnsi="Arial"/>
                      <w:sz w:val="16"/>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7162" w:type="dxa"/>
                  <w:gridSpan w:val="4"/>
                </w:tcPr>
                <w:p>
                  <w:pPr>
                    <w:keepNext/>
                    <w:keepLines/>
                    <w:spacing w:after="0"/>
                    <w:ind w:left="851" w:hanging="851"/>
                    <w:rPr>
                      <w:sz w:val="18"/>
                    </w:rPr>
                  </w:pPr>
                  <w:r>
                    <w:rPr>
                      <w:rFonts w:ascii="Arial" w:hAnsi="Arial" w:cs="Arial"/>
                      <w:sz w:val="16"/>
                    </w:rPr>
                    <w:t>Note</w:t>
                  </w:r>
                  <w:r>
                    <w:rPr>
                      <w:rFonts w:ascii="Arial" w:hAnsi="Arial"/>
                      <w:sz w:val="16"/>
                    </w:rPr>
                    <w:t xml:space="preserve"> 1:</w:t>
                  </w:r>
                  <w:r>
                    <w:rPr>
                      <w:rFonts w:ascii="Arial" w:hAnsi="Arial"/>
                      <w:sz w:val="16"/>
                    </w:rPr>
                    <w:tab/>
                  </w:r>
                  <w:r>
                    <w:rPr>
                      <w:rFonts w:ascii="Arial" w:hAnsi="Arial"/>
                      <w:sz w:val="16"/>
                    </w:rPr>
                    <w:t>T</w:t>
                  </w:r>
                  <w:r>
                    <w:rPr>
                      <w:rFonts w:ascii="Arial" w:hAnsi="Arial"/>
                      <w:sz w:val="16"/>
                      <w:vertAlign w:val="subscript"/>
                    </w:rPr>
                    <w:t>c</w:t>
                  </w:r>
                  <w:r>
                    <w:rPr>
                      <w:rFonts w:ascii="Arial" w:hAnsi="Arial"/>
                      <w:sz w:val="16"/>
                    </w:rPr>
                    <w:t xml:space="preserve"> is the basic timing unit defined in TS 38.211 [6]</w:t>
                  </w:r>
                </w:p>
                <w:p>
                  <w:pPr>
                    <w:keepNext/>
                    <w:keepLines/>
                    <w:spacing w:after="0"/>
                    <w:ind w:left="851" w:hanging="851"/>
                    <w:rPr>
                      <w:sz w:val="18"/>
                    </w:rPr>
                  </w:pPr>
                </w:p>
                <w:p>
                  <w:pPr>
                    <w:keepNext/>
                    <w:keepLines/>
                    <w:spacing w:after="0"/>
                    <w:rPr>
                      <w:sz w:val="18"/>
                    </w:rPr>
                  </w:pPr>
                  <w:r>
                    <w:rPr>
                      <w:rFonts w:ascii="Arial" w:hAnsi="Arial"/>
                      <w:sz w:val="16"/>
                    </w:rPr>
                    <w:t>Editor’s note: The final values of T</w:t>
                  </w:r>
                  <w:r>
                    <w:rPr>
                      <w:rFonts w:ascii="Arial" w:hAnsi="Arial"/>
                      <w:sz w:val="16"/>
                      <w:vertAlign w:val="subscript"/>
                    </w:rPr>
                    <w:t>e</w:t>
                  </w:r>
                  <w:r>
                    <w:rPr>
                      <w:rFonts w:ascii="Arial" w:hAnsi="Arial"/>
                      <w:sz w:val="16"/>
                    </w:rPr>
                    <w:t xml:space="preserve"> for 120KHz SSB SCS are subject to further discussions in further meeting, and may not be outside 3*64*T</w:t>
                  </w:r>
                  <w:r>
                    <w:rPr>
                      <w:rFonts w:ascii="Arial" w:hAnsi="Arial"/>
                      <w:sz w:val="16"/>
                      <w:vertAlign w:val="subscript"/>
                    </w:rPr>
                    <w:t>c</w:t>
                  </w:r>
                  <w:r>
                    <w:rPr>
                      <w:rFonts w:ascii="Arial" w:hAnsi="Arial"/>
                      <w:sz w:val="16"/>
                    </w:rPr>
                    <w:t xml:space="preserve"> to 3.5*64*T</w:t>
                  </w:r>
                  <w:r>
                    <w:rPr>
                      <w:rFonts w:ascii="Arial" w:hAnsi="Arial"/>
                      <w:sz w:val="16"/>
                      <w:vertAlign w:val="subscript"/>
                    </w:rPr>
                    <w:t>c</w:t>
                  </w:r>
                  <w:r>
                    <w:rPr>
                      <w:rFonts w:ascii="Arial" w:hAnsi="Arial"/>
                      <w:sz w:val="16"/>
                    </w:rPr>
                    <w:t>.</w:t>
                  </w:r>
                </w:p>
              </w:tc>
            </w:tr>
          </w:tbl>
          <w:p>
            <w:pPr>
              <w:rPr>
                <w:snapToGrid w:val="0"/>
                <w:sz w:val="18"/>
              </w:rPr>
            </w:pPr>
          </w:p>
          <w:p>
            <w:pPr>
              <w:pStyle w:val="4"/>
              <w:numPr>
                <w:ilvl w:val="0"/>
                <w:numId w:val="0"/>
              </w:numPr>
              <w:ind w:left="720" w:hanging="720"/>
              <w:rPr>
                <w:lang w:eastAsia="zh-CN"/>
              </w:rPr>
            </w:pPr>
            <w:r>
              <w:rPr>
                <w:lang w:eastAsia="zh-CN"/>
              </w:rPr>
              <w:t xml:space="preserve">3.2.5 </w:t>
            </w:r>
            <w:r>
              <w:rPr>
                <w:szCs w:val="22"/>
                <w:lang w:eastAsia="zh-CN"/>
              </w:rPr>
              <w:t>UE reception timing error (TE</w:t>
            </w:r>
            <w:r>
              <w:rPr>
                <w:szCs w:val="22"/>
                <w:vertAlign w:val="subscript"/>
                <w:lang w:eastAsia="zh-CN"/>
              </w:rPr>
              <w:t>UE-DL-RX</w:t>
            </w:r>
            <w:r>
              <w:rPr>
                <w:szCs w:val="22"/>
                <w:lang w:eastAsia="zh-CN"/>
              </w:rPr>
              <w:t>)</w:t>
            </w:r>
          </w:p>
          <w:p>
            <w:pPr>
              <w:rPr>
                <w:szCs w:val="22"/>
              </w:rPr>
            </w:pPr>
            <w:r>
              <w:rPr>
                <w:szCs w:val="22"/>
              </w:rPr>
              <w:t xml:space="preserve">The achievable synchronization accuracy will be very much dependent on the (bandwidth of the) used reference signal and the possible related time domain resolution in the estimation process. For FR1 and 30kHz SCS, the t-sync accuracy based on PSS/SSS will be in principle limited to about ±8Ts (~260ns) whereas for PBCH DM-RS the limitation is reduced to ~130ns. </w:t>
            </w:r>
          </w:p>
          <w:p>
            <w:pPr>
              <w:rPr>
                <w:szCs w:val="22"/>
              </w:rPr>
            </w:pPr>
          </w:p>
          <w:p>
            <w:pPr>
              <w:pStyle w:val="4"/>
              <w:numPr>
                <w:ilvl w:val="0"/>
                <w:numId w:val="0"/>
              </w:numPr>
              <w:ind w:left="720" w:hanging="720"/>
              <w:rPr>
                <w:lang w:eastAsia="zh-CN"/>
              </w:rPr>
            </w:pPr>
            <w:r>
              <w:rPr>
                <w:lang w:eastAsia="zh-CN"/>
              </w:rPr>
              <w:t>3.2.6 gNB UL receive timing estimation error (TE</w:t>
            </w:r>
            <w:r>
              <w:rPr>
                <w:vertAlign w:val="subscript"/>
                <w:lang w:eastAsia="zh-CN"/>
              </w:rPr>
              <w:t>UL-RX</w:t>
            </w:r>
            <w:r>
              <w:rPr>
                <w:lang w:eastAsia="zh-CN"/>
              </w:rPr>
              <w:t>)</w:t>
            </w:r>
          </w:p>
          <w:p>
            <w:pPr>
              <w:rPr>
                <w:szCs w:val="22"/>
              </w:rPr>
            </w:pPr>
            <w:r>
              <w:rPr>
                <w:szCs w:val="22"/>
              </w:rPr>
              <w:t xml:space="preserve">The UL receive timing of UE can be estimated at gNB based on any UL reference signal, such as PUSCH DM-RS, PUCCH DM-RS, or SRS. In applications such as closed-loop motion control, we may assume that PUSCH will be available in each motion control cycle. </w:t>
            </w:r>
          </w:p>
          <w:p>
            <w:pPr>
              <w:rPr>
                <w:sz w:val="18"/>
                <w:szCs w:val="18"/>
              </w:rPr>
            </w:pPr>
            <w:r>
              <w:t xml:space="preserve">Here we analyse the error of short-term, single-shot UL receive timing estimation on PUSCH. The short-term UL receive timing estimation error on PUSCH consists of two components: CIR peak detection error and error due to time sample granularity.  </w:t>
            </w:r>
          </w:p>
          <w:p>
            <w:pPr>
              <w:rPr>
                <w:szCs w:val="22"/>
              </w:rPr>
            </w:pPr>
            <w:r>
              <w:t>The peak detection error is determined based on simulations and shown below, expressed as the deviation from the true TO in terms of number of FFT samples. The simulations results shown in Figure 3.2-1 assume 5.4 GHz carrier frequency, AWGN channel, and 2Tx2Rx. The results show close to perfect detection for a larger PUSCH allocation of #PRB≥64. For a very small PUSCH allocation of 4 PRBs and low SNR, e.g. -5 dB ≤ SNR ≤ 0 dB, the detection error is in the order of ~±5 time samples, e.g. ~±5·64∙T</w:t>
            </w:r>
            <w:r>
              <w:rPr>
                <w:vertAlign w:val="subscript"/>
              </w:rPr>
              <w:t>c</w:t>
            </w:r>
            <w:r>
              <w:t>/2</w:t>
            </w:r>
            <w:r>
              <w:rPr>
                <w:vertAlign w:val="superscript"/>
              </w:rPr>
              <w:t>μ</w:t>
            </w:r>
            <w:r>
              <w:t xml:space="preserve"> corresponding to ~±160ns for 15kHz SCS. Specifically, for highly-reliable communication in the low SNR regime a larger PRB allocation is needed to support low MCS and therefore, we think that the higher PRB allocations are more typical in this respect. </w:t>
            </w:r>
          </w:p>
          <w:p>
            <w:pPr>
              <w:rPr>
                <w:szCs w:val="22"/>
              </w:rPr>
            </w:pPr>
          </w:p>
          <w:p>
            <w:pPr>
              <w:pStyle w:val="4"/>
              <w:numPr>
                <w:ilvl w:val="0"/>
                <w:numId w:val="0"/>
              </w:numPr>
              <w:ind w:left="720" w:hanging="720"/>
              <w:rPr>
                <w:lang w:eastAsia="zh-CN"/>
              </w:rPr>
            </w:pPr>
            <w:r>
              <w:rPr>
                <w:lang w:eastAsia="zh-CN"/>
              </w:rPr>
              <w:t>3.2.7 Timing advance adjustment granularity (TE</w:t>
            </w:r>
            <w:r>
              <w:rPr>
                <w:vertAlign w:val="subscript"/>
                <w:lang w:eastAsia="zh-CN"/>
              </w:rPr>
              <w:t>TA-G</w:t>
            </w:r>
            <w:r>
              <w:rPr>
                <w:lang w:eastAsia="zh-CN"/>
              </w:rPr>
              <w:t>)</w:t>
            </w:r>
          </w:p>
          <w:p>
            <w:r>
              <w:t>The timing adjustment granularity (as specified in 38.213 Sec. 4.2) is dependent on the applied SCS and is defined as 16∙64∙T</w:t>
            </w:r>
            <w:r>
              <w:rPr>
                <w:vertAlign w:val="subscript"/>
              </w:rPr>
              <w:t>c</w:t>
            </w:r>
            <w:r>
              <w:t>/2</w:t>
            </w:r>
            <w:r>
              <w:rPr>
                <w:vertAlign w:val="superscript"/>
              </w:rPr>
              <w:t>μ</w:t>
            </w:r>
            <w:r>
              <w:t>. The quantization error is half the indication granularity, meaning that the maximum error is given by:</w:t>
            </w:r>
          </w:p>
          <w:p>
            <w:pPr>
              <w:jc w:val="center"/>
              <w:rPr>
                <w:szCs w:val="22"/>
              </w:rPr>
            </w:pPr>
            <w:r>
              <w:rPr>
                <w:szCs w:val="22"/>
              </w:rPr>
              <w:t>TE</w:t>
            </w:r>
            <w:r>
              <w:rPr>
                <w:szCs w:val="22"/>
                <w:vertAlign w:val="subscript"/>
              </w:rPr>
              <w:t>TA-G</w:t>
            </w:r>
            <w:r>
              <w:rPr>
                <w:szCs w:val="22"/>
              </w:rPr>
              <w:t>=8∙64∙T</w:t>
            </w:r>
            <w:r>
              <w:rPr>
                <w:szCs w:val="22"/>
                <w:vertAlign w:val="subscript"/>
              </w:rPr>
              <w:t>c</w:t>
            </w:r>
            <w:r>
              <w:rPr>
                <w:szCs w:val="22"/>
              </w:rPr>
              <w:t>/2</w:t>
            </w:r>
            <w:r>
              <w:rPr>
                <w:szCs w:val="22"/>
                <w:vertAlign w:val="superscript"/>
              </w:rPr>
              <w:t>μ</w:t>
            </w:r>
          </w:p>
          <w:p>
            <w:pPr>
              <w:rPr>
                <w:szCs w:val="22"/>
              </w:rPr>
            </w:pPr>
            <w:r>
              <w:rPr>
                <w:szCs w:val="22"/>
              </w:rPr>
              <w:t>Specifically, for lower SCS values such as 15kHz the TE</w:t>
            </w:r>
            <w:r>
              <w:rPr>
                <w:szCs w:val="22"/>
                <w:vertAlign w:val="subscript"/>
              </w:rPr>
              <w:t>TA-G,15kHz</w:t>
            </w:r>
            <w:r>
              <w:rPr>
                <w:szCs w:val="22"/>
              </w:rPr>
              <w:t>=260ns which will take a large part of the UE timing accuracy budget of 1μs (13%) whereas for higher SCS such as 120kHz this contribution will play only have a minor effect (TE</w:t>
            </w:r>
            <w:r>
              <w:rPr>
                <w:szCs w:val="22"/>
                <w:vertAlign w:val="subscript"/>
              </w:rPr>
              <w:t>TA-G,120kHz</w:t>
            </w:r>
            <w:r>
              <w:rPr>
                <w:szCs w:val="22"/>
              </w:rPr>
              <w:t xml:space="preserve">=32ns). </w:t>
            </w:r>
          </w:p>
          <w:p>
            <w:pPr>
              <w:rPr>
                <w:szCs w:val="22"/>
              </w:rPr>
            </w:pPr>
          </w:p>
          <w:p>
            <w:pPr>
              <w:pStyle w:val="4"/>
              <w:numPr>
                <w:ilvl w:val="0"/>
                <w:numId w:val="0"/>
              </w:numPr>
              <w:ind w:left="720" w:hanging="720"/>
              <w:rPr>
                <w:lang w:eastAsia="zh-CN"/>
              </w:rPr>
            </w:pPr>
            <w:r>
              <w:rPr>
                <w:lang w:eastAsia="zh-CN"/>
              </w:rPr>
              <w:t>3.2.8 Relative Timing Advance adjustment accuracy (TE</w:t>
            </w:r>
            <w:r>
              <w:rPr>
                <w:vertAlign w:val="subscript"/>
                <w:lang w:eastAsia="zh-CN"/>
              </w:rPr>
              <w:t>TA-err</w:t>
            </w:r>
            <w:r>
              <w:rPr>
                <w:lang w:eastAsia="zh-CN"/>
              </w:rPr>
              <w:t>)</w:t>
            </w:r>
          </w:p>
          <w:p>
            <w:pPr>
              <w:rPr>
                <w:szCs w:val="22"/>
              </w:rPr>
            </w:pPr>
            <w:r>
              <w:rPr>
                <w:szCs w:val="22"/>
              </w:rPr>
              <w:t xml:space="preserve">The maximum allowed values are specified in TS 38.133 Sec. 7.3.2.2 in the following table: </w:t>
            </w:r>
          </w:p>
          <w:p>
            <w:pPr>
              <w:pStyle w:val="80"/>
              <w:rPr>
                <w:sz w:val="18"/>
                <w:lang w:val="en-US"/>
              </w:rPr>
            </w:pPr>
            <w:r>
              <w:rPr>
                <w:sz w:val="18"/>
              </w:rPr>
              <w:t>Table 7.3.2.2-</w:t>
            </w:r>
            <w:r>
              <w:rPr>
                <w:sz w:val="18"/>
                <w:lang w:eastAsia="ja-JP"/>
              </w:rPr>
              <w:t>1</w:t>
            </w:r>
            <w:r>
              <w:rPr>
                <w:sz w:val="18"/>
              </w:rPr>
              <w:t xml:space="preserve">: </w:t>
            </w:r>
            <w:r>
              <w:rPr>
                <w:sz w:val="18"/>
                <w:lang w:eastAsia="ja-JP"/>
              </w:rPr>
              <w:t>UE Timing Advance adjustment accuracy</w:t>
            </w:r>
          </w:p>
          <w:tbl>
            <w:tblPr>
              <w:tblStyle w:val="26"/>
              <w:tblW w:w="63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982"/>
              <w:gridCol w:w="1002"/>
              <w:gridCol w:w="99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jc w:val="center"/>
              </w:trPr>
              <w:tc>
                <w:tcPr>
                  <w:tcW w:w="2260" w:type="dxa"/>
                  <w:shd w:val="clear" w:color="auto" w:fill="auto"/>
                </w:tcPr>
                <w:p>
                  <w:pPr>
                    <w:pStyle w:val="85"/>
                    <w:rPr>
                      <w:sz w:val="16"/>
                    </w:rPr>
                  </w:pPr>
                  <w:r>
                    <w:rPr>
                      <w:sz w:val="16"/>
                    </w:rPr>
                    <w:t>Sub Carrier Spacing, SCS kHz</w:t>
                  </w:r>
                </w:p>
              </w:tc>
              <w:tc>
                <w:tcPr>
                  <w:tcW w:w="982" w:type="dxa"/>
                  <w:shd w:val="clear" w:color="auto" w:fill="auto"/>
                  <w:vAlign w:val="center"/>
                </w:tcPr>
                <w:p>
                  <w:pPr>
                    <w:pStyle w:val="85"/>
                    <w:rPr>
                      <w:sz w:val="16"/>
                      <w:lang w:val="en-US"/>
                    </w:rPr>
                  </w:pPr>
                  <w:r>
                    <w:rPr>
                      <w:sz w:val="16"/>
                    </w:rPr>
                    <w:t>15</w:t>
                  </w:r>
                </w:p>
              </w:tc>
              <w:tc>
                <w:tcPr>
                  <w:tcW w:w="1002" w:type="dxa"/>
                  <w:shd w:val="clear" w:color="auto" w:fill="auto"/>
                  <w:vAlign w:val="center"/>
                </w:tcPr>
                <w:p>
                  <w:pPr>
                    <w:pStyle w:val="85"/>
                    <w:rPr>
                      <w:sz w:val="16"/>
                      <w:lang w:val="en-US"/>
                    </w:rPr>
                  </w:pPr>
                  <w:r>
                    <w:rPr>
                      <w:sz w:val="16"/>
                    </w:rPr>
                    <w:t>30</w:t>
                  </w:r>
                </w:p>
              </w:tc>
              <w:tc>
                <w:tcPr>
                  <w:tcW w:w="992" w:type="dxa"/>
                  <w:shd w:val="clear" w:color="auto" w:fill="auto"/>
                  <w:vAlign w:val="center"/>
                </w:tcPr>
                <w:p>
                  <w:pPr>
                    <w:pStyle w:val="85"/>
                    <w:rPr>
                      <w:sz w:val="16"/>
                      <w:lang w:val="en-US"/>
                    </w:rPr>
                  </w:pPr>
                  <w:r>
                    <w:rPr>
                      <w:sz w:val="16"/>
                    </w:rPr>
                    <w:t>60</w:t>
                  </w:r>
                </w:p>
              </w:tc>
              <w:tc>
                <w:tcPr>
                  <w:tcW w:w="1134" w:type="dxa"/>
                  <w:shd w:val="clear" w:color="auto" w:fill="auto"/>
                  <w:vAlign w:val="center"/>
                </w:tcPr>
                <w:p>
                  <w:pPr>
                    <w:pStyle w:val="85"/>
                    <w:rPr>
                      <w:sz w:val="16"/>
                      <w:lang w:val="en-US"/>
                    </w:rPr>
                  </w:pPr>
                  <w:r>
                    <w:rPr>
                      <w:sz w:val="16"/>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5" w:hRule="atLeast"/>
                <w:jc w:val="center"/>
              </w:trPr>
              <w:tc>
                <w:tcPr>
                  <w:tcW w:w="2260" w:type="dxa"/>
                  <w:shd w:val="clear" w:color="auto" w:fill="auto"/>
                </w:tcPr>
                <w:p>
                  <w:pPr>
                    <w:pStyle w:val="85"/>
                    <w:rPr>
                      <w:sz w:val="16"/>
                    </w:rPr>
                  </w:pPr>
                  <w:r>
                    <w:rPr>
                      <w:sz w:val="16"/>
                    </w:rPr>
                    <w:t>UE Timing Advance adjustment accuracy</w:t>
                  </w:r>
                </w:p>
              </w:tc>
              <w:tc>
                <w:tcPr>
                  <w:tcW w:w="982" w:type="dxa"/>
                  <w:shd w:val="clear" w:color="auto" w:fill="auto"/>
                  <w:vAlign w:val="center"/>
                </w:tcPr>
                <w:p>
                  <w:pPr>
                    <w:pStyle w:val="50"/>
                    <w:rPr>
                      <w:sz w:val="16"/>
                      <w:lang w:val="en-US"/>
                    </w:rPr>
                  </w:pPr>
                  <w:r>
                    <w:rPr>
                      <w:sz w:val="16"/>
                      <w:szCs w:val="22"/>
                      <w:lang w:val="en-US"/>
                    </w:rPr>
                    <w:t>±</w:t>
                  </w:r>
                  <w:r>
                    <w:rPr>
                      <w:sz w:val="16"/>
                    </w:rPr>
                    <w:t>256 T</w:t>
                  </w:r>
                  <w:r>
                    <w:rPr>
                      <w:sz w:val="16"/>
                      <w:vertAlign w:val="subscript"/>
                    </w:rPr>
                    <w:t>c</w:t>
                  </w:r>
                </w:p>
              </w:tc>
              <w:tc>
                <w:tcPr>
                  <w:tcW w:w="1002" w:type="dxa"/>
                  <w:shd w:val="clear" w:color="auto" w:fill="auto"/>
                  <w:vAlign w:val="center"/>
                </w:tcPr>
                <w:p>
                  <w:pPr>
                    <w:pStyle w:val="50"/>
                    <w:rPr>
                      <w:sz w:val="16"/>
                      <w:lang w:val="en-US"/>
                    </w:rPr>
                  </w:pPr>
                  <w:r>
                    <w:rPr>
                      <w:sz w:val="16"/>
                      <w:szCs w:val="22"/>
                      <w:lang w:val="en-US"/>
                    </w:rPr>
                    <w:t>±</w:t>
                  </w:r>
                  <w:r>
                    <w:rPr>
                      <w:sz w:val="16"/>
                    </w:rPr>
                    <w:t>256 T</w:t>
                  </w:r>
                  <w:r>
                    <w:rPr>
                      <w:sz w:val="16"/>
                      <w:vertAlign w:val="subscript"/>
                    </w:rPr>
                    <w:t>c</w:t>
                  </w:r>
                </w:p>
              </w:tc>
              <w:tc>
                <w:tcPr>
                  <w:tcW w:w="992" w:type="dxa"/>
                  <w:shd w:val="clear" w:color="auto" w:fill="auto"/>
                  <w:vAlign w:val="center"/>
                </w:tcPr>
                <w:p>
                  <w:pPr>
                    <w:pStyle w:val="50"/>
                    <w:rPr>
                      <w:sz w:val="16"/>
                      <w:lang w:val="en-US"/>
                    </w:rPr>
                  </w:pPr>
                  <w:r>
                    <w:rPr>
                      <w:sz w:val="16"/>
                      <w:szCs w:val="22"/>
                      <w:lang w:val="en-US"/>
                    </w:rPr>
                    <w:t>±</w:t>
                  </w:r>
                  <w:r>
                    <w:rPr>
                      <w:sz w:val="16"/>
                    </w:rPr>
                    <w:t>128 T</w:t>
                  </w:r>
                  <w:r>
                    <w:rPr>
                      <w:sz w:val="16"/>
                      <w:vertAlign w:val="subscript"/>
                    </w:rPr>
                    <w:t>c</w:t>
                  </w:r>
                </w:p>
              </w:tc>
              <w:tc>
                <w:tcPr>
                  <w:tcW w:w="1134" w:type="dxa"/>
                  <w:shd w:val="clear" w:color="auto" w:fill="auto"/>
                  <w:vAlign w:val="center"/>
                </w:tcPr>
                <w:p>
                  <w:pPr>
                    <w:pStyle w:val="50"/>
                    <w:rPr>
                      <w:sz w:val="16"/>
                      <w:lang w:val="en-US"/>
                    </w:rPr>
                  </w:pPr>
                  <w:r>
                    <w:rPr>
                      <w:sz w:val="16"/>
                      <w:szCs w:val="22"/>
                      <w:lang w:val="en-US"/>
                    </w:rPr>
                    <w:t>±</w:t>
                  </w:r>
                  <w:r>
                    <w:rPr>
                      <w:sz w:val="16"/>
                    </w:rPr>
                    <w:t>32 T</w:t>
                  </w:r>
                  <w:r>
                    <w:rPr>
                      <w:sz w:val="16"/>
                      <w:vertAlign w:val="subscript"/>
                    </w:rPr>
                    <w:t>c</w:t>
                  </w:r>
                </w:p>
              </w:tc>
            </w:tr>
          </w:tbl>
          <w:p>
            <w:pPr>
              <w:rPr>
                <w:rFonts w:hint="eastAsia" w:eastAsia="宋体"/>
                <w:lang w:val="en-US" w:eastAsia="zh-CN"/>
              </w:rPr>
            </w:pPr>
            <w:r>
              <w:rPr>
                <w:rFonts w:hint="eastAsia"/>
                <w:lang w:val="en-US" w:eastAsia="zh-CN"/>
              </w:rPr>
              <w:t>`</w:t>
            </w:r>
          </w:p>
        </w:tc>
      </w:tr>
    </w:tbl>
    <w:p>
      <w:pPr>
        <w:spacing w:afterLines="50" w:line="240" w:lineRule="auto"/>
        <w:jc w:val="left"/>
      </w:pP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等线">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10022FF" w:usb1="C000E47F" w:usb2="00000029" w:usb3="00000000" w:csb0="200001DF" w:csb1="2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2598712F"/>
    <w:multiLevelType w:val="multilevel"/>
    <w:tmpl w:val="2598712F"/>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color w:val="000000"/>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3">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37B13BEF"/>
    <w:multiLevelType w:val="multilevel"/>
    <w:tmpl w:val="37B13BE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rPr>
        <w:i w:val="0"/>
        <w:iCs w:val="0"/>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B75185"/>
    <w:multiLevelType w:val="singleLevel"/>
    <w:tmpl w:val="3BB75185"/>
    <w:lvl w:ilvl="0" w:tentative="0">
      <w:start w:val="1"/>
      <w:numFmt w:val="bullet"/>
      <w:lvlText w:val=""/>
      <w:lvlJc w:val="left"/>
      <w:pPr>
        <w:ind w:left="420" w:hanging="420"/>
      </w:pPr>
      <w:rPr>
        <w:rFonts w:hint="default" w:ascii="Wingdings" w:hAnsi="Wingdings"/>
      </w:rPr>
    </w:lvl>
  </w:abstractNum>
  <w:abstractNum w:abstractNumId="7">
    <w:nsid w:val="3C5F4E43"/>
    <w:multiLevelType w:val="multilevel"/>
    <w:tmpl w:val="3C5F4E43"/>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8">
    <w:nsid w:val="4F605A2C"/>
    <w:multiLevelType w:val="multilevel"/>
    <w:tmpl w:val="4F605A2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1F44A7"/>
    <w:multiLevelType w:val="multilevel"/>
    <w:tmpl w:val="521F44A7"/>
    <w:lvl w:ilvl="0" w:tentative="0">
      <w:start w:val="1"/>
      <w:numFmt w:val="bullet"/>
      <w:pStyle w:val="10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A8B3682"/>
    <w:multiLevelType w:val="multilevel"/>
    <w:tmpl w:val="6A8B368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2600F2F"/>
    <w:multiLevelType w:val="multilevel"/>
    <w:tmpl w:val="72600F2F"/>
    <w:lvl w:ilvl="0" w:tentative="0">
      <w:start w:val="6"/>
      <w:numFmt w:val="bullet"/>
      <w:lvlText w:val="-"/>
      <w:lvlJc w:val="left"/>
      <w:pPr>
        <w:ind w:left="360" w:hanging="360"/>
      </w:pPr>
      <w:rPr>
        <w:rFonts w:hint="default" w:ascii="Arial" w:hAnsi="Arial" w:eastAsia="宋体"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0"/>
  </w:num>
  <w:num w:numId="2">
    <w:abstractNumId w:val="5"/>
  </w:num>
  <w:num w:numId="3">
    <w:abstractNumId w:val="9"/>
  </w:num>
  <w:num w:numId="4">
    <w:abstractNumId w:val="1"/>
  </w:num>
  <w:num w:numId="5">
    <w:abstractNumId w:val="3"/>
  </w:num>
  <w:num w:numId="6">
    <w:abstractNumId w:val="12"/>
  </w:num>
  <w:num w:numId="7">
    <w:abstractNumId w:val="10"/>
  </w:num>
  <w:num w:numId="8">
    <w:abstractNumId w:val="4"/>
  </w:num>
  <w:num w:numId="9">
    <w:abstractNumId w:val="7"/>
  </w:num>
  <w:num w:numId="10">
    <w:abstractNumId w:val="13"/>
  </w:num>
  <w:num w:numId="11">
    <w:abstractNumId w:val="8"/>
  </w:num>
  <w:num w:numId="12">
    <w:abstractNumId w:val="2"/>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val="1"/>
  <w:bordersDoNotSurroundHeader w:val="0"/>
  <w:bordersDoNotSurroundFooter w:val="0"/>
  <w:documentProtection w:enforcement="0"/>
  <w:defaultTabStop w:val="420"/>
  <w:drawingGridVerticalSpacing w:val="200"/>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37DE"/>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6CEA"/>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D7D58"/>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573F95"/>
    <w:rsid w:val="020C0ADE"/>
    <w:rsid w:val="026C4B34"/>
    <w:rsid w:val="02DD5125"/>
    <w:rsid w:val="03646698"/>
    <w:rsid w:val="03BB6CC7"/>
    <w:rsid w:val="03CA337A"/>
    <w:rsid w:val="041A4CC2"/>
    <w:rsid w:val="042910E2"/>
    <w:rsid w:val="04496322"/>
    <w:rsid w:val="046910FA"/>
    <w:rsid w:val="048C728B"/>
    <w:rsid w:val="04B155FA"/>
    <w:rsid w:val="04C16098"/>
    <w:rsid w:val="051B3E49"/>
    <w:rsid w:val="059B113D"/>
    <w:rsid w:val="05BD29E8"/>
    <w:rsid w:val="05C418F0"/>
    <w:rsid w:val="05F875F8"/>
    <w:rsid w:val="06A058C6"/>
    <w:rsid w:val="06C643D0"/>
    <w:rsid w:val="06D26128"/>
    <w:rsid w:val="06D472DE"/>
    <w:rsid w:val="072005A1"/>
    <w:rsid w:val="0737177F"/>
    <w:rsid w:val="073C5092"/>
    <w:rsid w:val="074D6BB9"/>
    <w:rsid w:val="07A511F7"/>
    <w:rsid w:val="07EE173A"/>
    <w:rsid w:val="08FF0CA6"/>
    <w:rsid w:val="091B0CD5"/>
    <w:rsid w:val="09A219CB"/>
    <w:rsid w:val="0A364CE9"/>
    <w:rsid w:val="0A38015E"/>
    <w:rsid w:val="0A3A51A0"/>
    <w:rsid w:val="0A7432A0"/>
    <w:rsid w:val="0A7E051C"/>
    <w:rsid w:val="0AED05DF"/>
    <w:rsid w:val="0AFB5D3D"/>
    <w:rsid w:val="0B6F612A"/>
    <w:rsid w:val="0B8E00BD"/>
    <w:rsid w:val="0BC360CD"/>
    <w:rsid w:val="0BD46A3A"/>
    <w:rsid w:val="0C03503D"/>
    <w:rsid w:val="0C443F05"/>
    <w:rsid w:val="0D8E2038"/>
    <w:rsid w:val="0DA573CB"/>
    <w:rsid w:val="0DB63FB6"/>
    <w:rsid w:val="0E1415C5"/>
    <w:rsid w:val="0E58331F"/>
    <w:rsid w:val="0E6D5BF6"/>
    <w:rsid w:val="0EA24402"/>
    <w:rsid w:val="0EF82A9A"/>
    <w:rsid w:val="0F062DA3"/>
    <w:rsid w:val="0F4D52CA"/>
    <w:rsid w:val="0F506C44"/>
    <w:rsid w:val="0FAF3633"/>
    <w:rsid w:val="0FDD7F35"/>
    <w:rsid w:val="10986750"/>
    <w:rsid w:val="10F726A2"/>
    <w:rsid w:val="116A7FE3"/>
    <w:rsid w:val="11907CE0"/>
    <w:rsid w:val="11BE0BE8"/>
    <w:rsid w:val="11E06A1C"/>
    <w:rsid w:val="12CA6DA2"/>
    <w:rsid w:val="12FB20BB"/>
    <w:rsid w:val="1359049E"/>
    <w:rsid w:val="13627CD6"/>
    <w:rsid w:val="137C4B08"/>
    <w:rsid w:val="1415026A"/>
    <w:rsid w:val="141B2DA8"/>
    <w:rsid w:val="144D46F7"/>
    <w:rsid w:val="149E2E18"/>
    <w:rsid w:val="14DC1DD0"/>
    <w:rsid w:val="155B3250"/>
    <w:rsid w:val="16072BDF"/>
    <w:rsid w:val="16266C2F"/>
    <w:rsid w:val="169A271D"/>
    <w:rsid w:val="1715726A"/>
    <w:rsid w:val="17651CD1"/>
    <w:rsid w:val="17791C35"/>
    <w:rsid w:val="17805596"/>
    <w:rsid w:val="17E6034A"/>
    <w:rsid w:val="17F33C1A"/>
    <w:rsid w:val="183B2992"/>
    <w:rsid w:val="194A596E"/>
    <w:rsid w:val="194D1FFF"/>
    <w:rsid w:val="19E75DD1"/>
    <w:rsid w:val="1A5C0690"/>
    <w:rsid w:val="1AE46F2F"/>
    <w:rsid w:val="1BE845AC"/>
    <w:rsid w:val="1C137824"/>
    <w:rsid w:val="1C2F3F43"/>
    <w:rsid w:val="1C3D1F16"/>
    <w:rsid w:val="1C827C74"/>
    <w:rsid w:val="1CCE6E76"/>
    <w:rsid w:val="1D6F1058"/>
    <w:rsid w:val="1D8C1F17"/>
    <w:rsid w:val="1DB777FA"/>
    <w:rsid w:val="1E0D3957"/>
    <w:rsid w:val="1E470F72"/>
    <w:rsid w:val="1E714CAB"/>
    <w:rsid w:val="1EE63959"/>
    <w:rsid w:val="1EEA3263"/>
    <w:rsid w:val="2006044F"/>
    <w:rsid w:val="204A401D"/>
    <w:rsid w:val="204B6F2E"/>
    <w:rsid w:val="205B2E23"/>
    <w:rsid w:val="20965B10"/>
    <w:rsid w:val="20C525F8"/>
    <w:rsid w:val="20D5773F"/>
    <w:rsid w:val="21026B37"/>
    <w:rsid w:val="21153C50"/>
    <w:rsid w:val="218830B1"/>
    <w:rsid w:val="21AB061B"/>
    <w:rsid w:val="22696410"/>
    <w:rsid w:val="226B30BD"/>
    <w:rsid w:val="22726249"/>
    <w:rsid w:val="22D943B4"/>
    <w:rsid w:val="23996910"/>
    <w:rsid w:val="24C326C6"/>
    <w:rsid w:val="24DF444C"/>
    <w:rsid w:val="25B07D4B"/>
    <w:rsid w:val="25D96D4A"/>
    <w:rsid w:val="27070D69"/>
    <w:rsid w:val="270F5009"/>
    <w:rsid w:val="27280558"/>
    <w:rsid w:val="2788255B"/>
    <w:rsid w:val="278A1C38"/>
    <w:rsid w:val="27A36289"/>
    <w:rsid w:val="27C84AF9"/>
    <w:rsid w:val="27E6739E"/>
    <w:rsid w:val="283C68DA"/>
    <w:rsid w:val="28656D1A"/>
    <w:rsid w:val="28D34661"/>
    <w:rsid w:val="29352F0B"/>
    <w:rsid w:val="297E642D"/>
    <w:rsid w:val="2AD27BE5"/>
    <w:rsid w:val="2B052C5C"/>
    <w:rsid w:val="2BE54C96"/>
    <w:rsid w:val="2BE55C77"/>
    <w:rsid w:val="2C133966"/>
    <w:rsid w:val="2C694569"/>
    <w:rsid w:val="2C9C5C15"/>
    <w:rsid w:val="2CAD1BA0"/>
    <w:rsid w:val="2CC0027C"/>
    <w:rsid w:val="2CF263DA"/>
    <w:rsid w:val="2D1B2C45"/>
    <w:rsid w:val="2D20154F"/>
    <w:rsid w:val="2D5E7614"/>
    <w:rsid w:val="2DB27A24"/>
    <w:rsid w:val="2DCB1EC6"/>
    <w:rsid w:val="2E8F07F4"/>
    <w:rsid w:val="2E953826"/>
    <w:rsid w:val="2EB03407"/>
    <w:rsid w:val="2F492B7F"/>
    <w:rsid w:val="2F6B5666"/>
    <w:rsid w:val="2F706170"/>
    <w:rsid w:val="2FA676D4"/>
    <w:rsid w:val="30222434"/>
    <w:rsid w:val="306B6C08"/>
    <w:rsid w:val="30FA5333"/>
    <w:rsid w:val="31217A77"/>
    <w:rsid w:val="31434A6B"/>
    <w:rsid w:val="317051FD"/>
    <w:rsid w:val="31842C48"/>
    <w:rsid w:val="31A44396"/>
    <w:rsid w:val="31A532BB"/>
    <w:rsid w:val="31B06391"/>
    <w:rsid w:val="321127BE"/>
    <w:rsid w:val="3244244E"/>
    <w:rsid w:val="32E44F34"/>
    <w:rsid w:val="32E673D3"/>
    <w:rsid w:val="332C648B"/>
    <w:rsid w:val="3340760E"/>
    <w:rsid w:val="335B2D36"/>
    <w:rsid w:val="33993AC6"/>
    <w:rsid w:val="33A35084"/>
    <w:rsid w:val="33CF79F8"/>
    <w:rsid w:val="3415375B"/>
    <w:rsid w:val="34265F34"/>
    <w:rsid w:val="343325D1"/>
    <w:rsid w:val="34FE256B"/>
    <w:rsid w:val="363B2747"/>
    <w:rsid w:val="365E62C2"/>
    <w:rsid w:val="37294CD0"/>
    <w:rsid w:val="377D4DD4"/>
    <w:rsid w:val="381F2468"/>
    <w:rsid w:val="385E7746"/>
    <w:rsid w:val="386C3155"/>
    <w:rsid w:val="387C5E25"/>
    <w:rsid w:val="38E730E7"/>
    <w:rsid w:val="38FC41C9"/>
    <w:rsid w:val="390E2DDC"/>
    <w:rsid w:val="39866731"/>
    <w:rsid w:val="39BA04CB"/>
    <w:rsid w:val="39D361E3"/>
    <w:rsid w:val="39F631CE"/>
    <w:rsid w:val="3A001F29"/>
    <w:rsid w:val="3A081FC9"/>
    <w:rsid w:val="3AC257D0"/>
    <w:rsid w:val="3AEE5DE0"/>
    <w:rsid w:val="3B206C03"/>
    <w:rsid w:val="3B590D75"/>
    <w:rsid w:val="3BCA2B69"/>
    <w:rsid w:val="3C15026F"/>
    <w:rsid w:val="3C3F6BE0"/>
    <w:rsid w:val="3D9C1C9F"/>
    <w:rsid w:val="3DAE4CCA"/>
    <w:rsid w:val="3DD40078"/>
    <w:rsid w:val="3DF22F88"/>
    <w:rsid w:val="3E544A8E"/>
    <w:rsid w:val="3EFF3294"/>
    <w:rsid w:val="3F250E1A"/>
    <w:rsid w:val="3FF46B0A"/>
    <w:rsid w:val="40901D82"/>
    <w:rsid w:val="409141DB"/>
    <w:rsid w:val="40A84C8A"/>
    <w:rsid w:val="41536259"/>
    <w:rsid w:val="4169723A"/>
    <w:rsid w:val="41C63633"/>
    <w:rsid w:val="41DF04DB"/>
    <w:rsid w:val="41E4326D"/>
    <w:rsid w:val="41F60DE9"/>
    <w:rsid w:val="41FA789A"/>
    <w:rsid w:val="41FD183B"/>
    <w:rsid w:val="421A6082"/>
    <w:rsid w:val="42404154"/>
    <w:rsid w:val="42C238AD"/>
    <w:rsid w:val="42C56E20"/>
    <w:rsid w:val="43107B93"/>
    <w:rsid w:val="4372236C"/>
    <w:rsid w:val="43A41AD8"/>
    <w:rsid w:val="43CB4CFC"/>
    <w:rsid w:val="44112FCD"/>
    <w:rsid w:val="442D600A"/>
    <w:rsid w:val="44637BE9"/>
    <w:rsid w:val="44862685"/>
    <w:rsid w:val="451976C7"/>
    <w:rsid w:val="455A11CD"/>
    <w:rsid w:val="456E74AD"/>
    <w:rsid w:val="45FF10E5"/>
    <w:rsid w:val="464279CE"/>
    <w:rsid w:val="46D36E14"/>
    <w:rsid w:val="46EF7130"/>
    <w:rsid w:val="47A05CAC"/>
    <w:rsid w:val="48B55D1C"/>
    <w:rsid w:val="490F388C"/>
    <w:rsid w:val="49182EA8"/>
    <w:rsid w:val="49342E76"/>
    <w:rsid w:val="49361556"/>
    <w:rsid w:val="49D76CC3"/>
    <w:rsid w:val="4A0E0212"/>
    <w:rsid w:val="4ADA04D7"/>
    <w:rsid w:val="4B3542A5"/>
    <w:rsid w:val="4BF418FA"/>
    <w:rsid w:val="4CA1797F"/>
    <w:rsid w:val="4CA565C4"/>
    <w:rsid w:val="4CEA6BC3"/>
    <w:rsid w:val="4D076F47"/>
    <w:rsid w:val="4DE10707"/>
    <w:rsid w:val="4DFB459D"/>
    <w:rsid w:val="4E5100D7"/>
    <w:rsid w:val="4F025C5A"/>
    <w:rsid w:val="4F08116A"/>
    <w:rsid w:val="4F292614"/>
    <w:rsid w:val="4F8628B3"/>
    <w:rsid w:val="4F8C2BF2"/>
    <w:rsid w:val="4FBB7AF5"/>
    <w:rsid w:val="4FC72A7D"/>
    <w:rsid w:val="505A4187"/>
    <w:rsid w:val="51155F06"/>
    <w:rsid w:val="512C6DF9"/>
    <w:rsid w:val="5148352B"/>
    <w:rsid w:val="51744E02"/>
    <w:rsid w:val="51980588"/>
    <w:rsid w:val="51BB0042"/>
    <w:rsid w:val="51E8337E"/>
    <w:rsid w:val="523A669D"/>
    <w:rsid w:val="524E616D"/>
    <w:rsid w:val="526652FC"/>
    <w:rsid w:val="527D07FF"/>
    <w:rsid w:val="52931D37"/>
    <w:rsid w:val="52B11637"/>
    <w:rsid w:val="53083CAD"/>
    <w:rsid w:val="53252F30"/>
    <w:rsid w:val="532C0C04"/>
    <w:rsid w:val="53AC695C"/>
    <w:rsid w:val="544D1F02"/>
    <w:rsid w:val="545A2B1B"/>
    <w:rsid w:val="54646E20"/>
    <w:rsid w:val="54FD175E"/>
    <w:rsid w:val="55232647"/>
    <w:rsid w:val="559B01FB"/>
    <w:rsid w:val="55A607D4"/>
    <w:rsid w:val="55BE7106"/>
    <w:rsid w:val="55C66B52"/>
    <w:rsid w:val="55E16653"/>
    <w:rsid w:val="560D2DFD"/>
    <w:rsid w:val="56245399"/>
    <w:rsid w:val="565709A1"/>
    <w:rsid w:val="56A4741E"/>
    <w:rsid w:val="5706714E"/>
    <w:rsid w:val="574A268F"/>
    <w:rsid w:val="57F17F3C"/>
    <w:rsid w:val="5849191F"/>
    <w:rsid w:val="587707C0"/>
    <w:rsid w:val="58E67861"/>
    <w:rsid w:val="58EF387E"/>
    <w:rsid w:val="590635FA"/>
    <w:rsid w:val="5906501D"/>
    <w:rsid w:val="598E76A5"/>
    <w:rsid w:val="59B221C5"/>
    <w:rsid w:val="5A315CB8"/>
    <w:rsid w:val="5A7E770A"/>
    <w:rsid w:val="5AC34E28"/>
    <w:rsid w:val="5ACE74CC"/>
    <w:rsid w:val="5AD01264"/>
    <w:rsid w:val="5AE47070"/>
    <w:rsid w:val="5AEA7558"/>
    <w:rsid w:val="5B1B5FA6"/>
    <w:rsid w:val="5BA27848"/>
    <w:rsid w:val="5C1A0E9C"/>
    <w:rsid w:val="5C2E52B6"/>
    <w:rsid w:val="5C8B1857"/>
    <w:rsid w:val="5D581D8D"/>
    <w:rsid w:val="5DE91B33"/>
    <w:rsid w:val="5DF8152C"/>
    <w:rsid w:val="5E6D34B6"/>
    <w:rsid w:val="5E792A6E"/>
    <w:rsid w:val="5EAA50BD"/>
    <w:rsid w:val="5EC86CAC"/>
    <w:rsid w:val="5EED2FE8"/>
    <w:rsid w:val="5EF10918"/>
    <w:rsid w:val="5FD5148C"/>
    <w:rsid w:val="60190854"/>
    <w:rsid w:val="60813ECD"/>
    <w:rsid w:val="609F07D4"/>
    <w:rsid w:val="60A866E2"/>
    <w:rsid w:val="61425508"/>
    <w:rsid w:val="614479EA"/>
    <w:rsid w:val="617F321C"/>
    <w:rsid w:val="619B5323"/>
    <w:rsid w:val="61E43055"/>
    <w:rsid w:val="62122B95"/>
    <w:rsid w:val="62670101"/>
    <w:rsid w:val="62DA1F01"/>
    <w:rsid w:val="631C4E3A"/>
    <w:rsid w:val="635D5EE9"/>
    <w:rsid w:val="637207CC"/>
    <w:rsid w:val="63B40504"/>
    <w:rsid w:val="65320F67"/>
    <w:rsid w:val="65575FF6"/>
    <w:rsid w:val="658F62C0"/>
    <w:rsid w:val="659C59FE"/>
    <w:rsid w:val="65AA0BDC"/>
    <w:rsid w:val="65BD628C"/>
    <w:rsid w:val="66846AF7"/>
    <w:rsid w:val="66A81F9F"/>
    <w:rsid w:val="66AD489F"/>
    <w:rsid w:val="66FC3C1B"/>
    <w:rsid w:val="66FC6FBC"/>
    <w:rsid w:val="674A01DA"/>
    <w:rsid w:val="674F6266"/>
    <w:rsid w:val="677B67B2"/>
    <w:rsid w:val="67992685"/>
    <w:rsid w:val="67DC59E1"/>
    <w:rsid w:val="68235C2C"/>
    <w:rsid w:val="688A0849"/>
    <w:rsid w:val="68E6731C"/>
    <w:rsid w:val="68FD686D"/>
    <w:rsid w:val="69C44994"/>
    <w:rsid w:val="6A2A456E"/>
    <w:rsid w:val="6AE453C8"/>
    <w:rsid w:val="6AEF77A1"/>
    <w:rsid w:val="6B0D62E3"/>
    <w:rsid w:val="6B2C0336"/>
    <w:rsid w:val="6B4B2BE7"/>
    <w:rsid w:val="6B4F6D13"/>
    <w:rsid w:val="6B6B588B"/>
    <w:rsid w:val="6BE200A4"/>
    <w:rsid w:val="6C0D5683"/>
    <w:rsid w:val="6C4A6982"/>
    <w:rsid w:val="6C5C5F71"/>
    <w:rsid w:val="6C931356"/>
    <w:rsid w:val="6CE40EBD"/>
    <w:rsid w:val="6D0232BD"/>
    <w:rsid w:val="6DAA0311"/>
    <w:rsid w:val="6DBF4FE6"/>
    <w:rsid w:val="6E4B0228"/>
    <w:rsid w:val="6E8E23CF"/>
    <w:rsid w:val="6E95489F"/>
    <w:rsid w:val="6F0769A6"/>
    <w:rsid w:val="6F167E3E"/>
    <w:rsid w:val="6F1D22B4"/>
    <w:rsid w:val="6F2F4F19"/>
    <w:rsid w:val="6F8E0FA1"/>
    <w:rsid w:val="6F9013BC"/>
    <w:rsid w:val="6FAD3D37"/>
    <w:rsid w:val="6FDE1282"/>
    <w:rsid w:val="6FE67ECC"/>
    <w:rsid w:val="705F283C"/>
    <w:rsid w:val="706E4991"/>
    <w:rsid w:val="70BC4B56"/>
    <w:rsid w:val="711F5E29"/>
    <w:rsid w:val="712A6594"/>
    <w:rsid w:val="71554D32"/>
    <w:rsid w:val="715D1804"/>
    <w:rsid w:val="718D718C"/>
    <w:rsid w:val="718F2785"/>
    <w:rsid w:val="72011B9B"/>
    <w:rsid w:val="721C5BE1"/>
    <w:rsid w:val="72851DB8"/>
    <w:rsid w:val="72C278C5"/>
    <w:rsid w:val="72CD04DB"/>
    <w:rsid w:val="730C6EEE"/>
    <w:rsid w:val="732855C7"/>
    <w:rsid w:val="7337524E"/>
    <w:rsid w:val="73611117"/>
    <w:rsid w:val="73A4048A"/>
    <w:rsid w:val="73C33D2F"/>
    <w:rsid w:val="74164D0C"/>
    <w:rsid w:val="748D20BD"/>
    <w:rsid w:val="74EE23C5"/>
    <w:rsid w:val="75195EE2"/>
    <w:rsid w:val="75515C6E"/>
    <w:rsid w:val="75570BCD"/>
    <w:rsid w:val="75867E5D"/>
    <w:rsid w:val="76054910"/>
    <w:rsid w:val="76452C0F"/>
    <w:rsid w:val="767C3587"/>
    <w:rsid w:val="76D81F44"/>
    <w:rsid w:val="76DE4CE1"/>
    <w:rsid w:val="76EE705E"/>
    <w:rsid w:val="770053F5"/>
    <w:rsid w:val="7738712C"/>
    <w:rsid w:val="778E50AD"/>
    <w:rsid w:val="77F0749E"/>
    <w:rsid w:val="77FA7BBF"/>
    <w:rsid w:val="784D20E0"/>
    <w:rsid w:val="786E244C"/>
    <w:rsid w:val="78A404F5"/>
    <w:rsid w:val="79082648"/>
    <w:rsid w:val="791B003D"/>
    <w:rsid w:val="795116B9"/>
    <w:rsid w:val="79682F71"/>
    <w:rsid w:val="7A0A662F"/>
    <w:rsid w:val="7A5C371B"/>
    <w:rsid w:val="7AAA1482"/>
    <w:rsid w:val="7AAB7B6F"/>
    <w:rsid w:val="7B0959ED"/>
    <w:rsid w:val="7B1A180C"/>
    <w:rsid w:val="7B8D6AC5"/>
    <w:rsid w:val="7BD154A9"/>
    <w:rsid w:val="7BEA172D"/>
    <w:rsid w:val="7BF43D4F"/>
    <w:rsid w:val="7C1043C3"/>
    <w:rsid w:val="7C7E15B9"/>
    <w:rsid w:val="7CB11880"/>
    <w:rsid w:val="7CBA1063"/>
    <w:rsid w:val="7CCD6CAF"/>
    <w:rsid w:val="7D4E71A8"/>
    <w:rsid w:val="7D54112F"/>
    <w:rsid w:val="7DA07495"/>
    <w:rsid w:val="7DE17A9E"/>
    <w:rsid w:val="7DF51AC7"/>
    <w:rsid w:val="7E4D02F5"/>
    <w:rsid w:val="7E634CB1"/>
    <w:rsid w:val="7E813B5B"/>
    <w:rsid w:val="7EAC3AE8"/>
    <w:rsid w:val="7EF3581E"/>
    <w:rsid w:val="7F4042B9"/>
    <w:rsid w:val="7FC300D8"/>
    <w:rsid w:val="7FD52C8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qFormat/>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qFormat/>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qFormat/>
    <w:uiPriority w:val="99"/>
    <w:rPr>
      <w:rFonts w:ascii="宋体"/>
      <w:sz w:val="18"/>
      <w:szCs w:val="18"/>
      <w:lang w:eastAsia="zh-CN"/>
    </w:rPr>
  </w:style>
  <w:style w:type="paragraph" w:styleId="16">
    <w:name w:val="Body Text"/>
    <w:basedOn w:val="1"/>
    <w:link w:val="68"/>
    <w:unhideWhenUsed/>
    <w:qFormat/>
    <w:uiPriority w:val="0"/>
    <w:pPr>
      <w:spacing w:line="240" w:lineRule="auto"/>
      <w:textAlignment w:val="auto"/>
    </w:pPr>
    <w:rPr>
      <w:rFonts w:ascii="Arial" w:hAnsi="Arial"/>
      <w:sz w:val="20"/>
      <w:lang w:eastAsia="zh-CN"/>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1"/>
    <w:semiHidden/>
    <w:unhideWhenUsed/>
    <w:qFormat/>
    <w:uiPriority w:val="99"/>
    <w:pPr>
      <w:spacing w:after="0" w:line="240" w:lineRule="auto"/>
    </w:pPr>
    <w:rPr>
      <w:rFonts w:ascii="Lucida Grande" w:hAnsi="Lucida Grande"/>
      <w:sz w:val="18"/>
      <w:szCs w:val="18"/>
      <w:lang w:eastAsia="zh-CN"/>
    </w:rPr>
  </w:style>
  <w:style w:type="paragraph" w:styleId="19">
    <w:name w:val="footer"/>
    <w:basedOn w:val="20"/>
    <w:link w:val="3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20">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qFormat/>
    <w:uiPriority w:val="99"/>
    <w:pPr>
      <w:ind w:left="200" w:hanging="200" w:hangingChars="200"/>
      <w:contextualSpacing/>
    </w:pPr>
  </w:style>
  <w:style w:type="character" w:styleId="23">
    <w:name w:val="page number"/>
    <w:basedOn w:val="22"/>
    <w:qFormat/>
    <w:uiPriority w:val="0"/>
  </w:style>
  <w:style w:type="character" w:styleId="24">
    <w:name w:val="Hyperlink"/>
    <w:qFormat/>
    <w:uiPriority w:val="99"/>
    <w:rPr>
      <w:color w:val="0000FF"/>
      <w:u w:val="single"/>
    </w:rPr>
  </w:style>
  <w:style w:type="character" w:styleId="25">
    <w:name w:val="annotation reference"/>
    <w:semiHidden/>
    <w:unhideWhenUsed/>
    <w:qFormat/>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Heading 1 Char"/>
    <w:link w:val="2"/>
    <w:qFormat/>
    <w:uiPriority w:val="0"/>
    <w:rPr>
      <w:rFonts w:ascii="Arial" w:hAnsi="Arial"/>
      <w:sz w:val="36"/>
      <w:szCs w:val="36"/>
      <w:lang w:val="en-GB"/>
    </w:rPr>
  </w:style>
  <w:style w:type="character" w:customStyle="1" w:styleId="29">
    <w:name w:val="Heading 2 Char1"/>
    <w:link w:val="3"/>
    <w:qFormat/>
    <w:uiPriority w:val="0"/>
    <w:rPr>
      <w:rFonts w:ascii="Arial" w:hAnsi="Arial"/>
      <w:sz w:val="32"/>
      <w:szCs w:val="32"/>
      <w:lang w:val="en-GB" w:eastAsia="zh-CN"/>
    </w:rPr>
  </w:style>
  <w:style w:type="character" w:customStyle="1" w:styleId="30">
    <w:name w:val="Heading 3 Char"/>
    <w:link w:val="4"/>
    <w:qFormat/>
    <w:uiPriority w:val="0"/>
    <w:rPr>
      <w:rFonts w:ascii="Arial" w:hAnsi="Arial"/>
      <w:sz w:val="28"/>
      <w:szCs w:val="28"/>
      <w:lang w:val="en-GB" w:eastAsia="zh-CN"/>
    </w:rPr>
  </w:style>
  <w:style w:type="character" w:customStyle="1" w:styleId="31">
    <w:name w:val="Heading 4 Char"/>
    <w:link w:val="5"/>
    <w:qFormat/>
    <w:uiPriority w:val="0"/>
    <w:rPr>
      <w:rFonts w:ascii="Arial" w:hAnsi="Arial"/>
      <w:lang w:val="en-GB" w:eastAsia="zh-CN"/>
    </w:rPr>
  </w:style>
  <w:style w:type="character" w:customStyle="1" w:styleId="32">
    <w:name w:val="Heading 5 Char"/>
    <w:link w:val="6"/>
    <w:qFormat/>
    <w:uiPriority w:val="0"/>
    <w:rPr>
      <w:rFonts w:ascii="Arial" w:hAnsi="Arial"/>
      <w:sz w:val="22"/>
      <w:szCs w:val="22"/>
      <w:lang w:val="en-GB" w:eastAsia="zh-CN"/>
    </w:rPr>
  </w:style>
  <w:style w:type="character" w:customStyle="1" w:styleId="33">
    <w:name w:val="Heading 6 Char"/>
    <w:link w:val="7"/>
    <w:qFormat/>
    <w:uiPriority w:val="0"/>
    <w:rPr>
      <w:rFonts w:ascii="Arial" w:hAnsi="Arial"/>
      <w:sz w:val="22"/>
      <w:lang w:val="en-GB" w:eastAsia="zh-CN"/>
    </w:rPr>
  </w:style>
  <w:style w:type="character" w:customStyle="1" w:styleId="34">
    <w:name w:val="Heading 7 Char"/>
    <w:link w:val="8"/>
    <w:qFormat/>
    <w:uiPriority w:val="0"/>
    <w:rPr>
      <w:rFonts w:ascii="Arial" w:hAnsi="Arial"/>
      <w:sz w:val="22"/>
      <w:lang w:val="en-GB" w:eastAsia="zh-CN"/>
    </w:rPr>
  </w:style>
  <w:style w:type="character" w:customStyle="1" w:styleId="35">
    <w:name w:val="Heading 8 Char"/>
    <w:link w:val="9"/>
    <w:qFormat/>
    <w:uiPriority w:val="0"/>
    <w:rPr>
      <w:rFonts w:ascii="Arial" w:hAnsi="Arial"/>
      <w:sz w:val="22"/>
      <w:lang w:val="en-GB" w:eastAsia="zh-CN"/>
    </w:rPr>
  </w:style>
  <w:style w:type="character" w:customStyle="1" w:styleId="36">
    <w:name w:val="Heading 9 Char"/>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lang w:eastAsia="zh-CN"/>
    </w:rPr>
  </w:style>
  <w:style w:type="character" w:customStyle="1" w:styleId="38">
    <w:name w:val="Footer Char"/>
    <w:link w:val="19"/>
    <w:qFormat/>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Header Char"/>
    <w:link w:val="20"/>
    <w:qFormat/>
    <w:uiPriority w:val="99"/>
    <w:rPr>
      <w:rFonts w:ascii="Times New Roman" w:hAnsi="Times New Roman" w:eastAsia="宋体" w:cs="Times New Roman"/>
      <w:kern w:val="0"/>
      <w:sz w:val="18"/>
      <w:szCs w:val="18"/>
      <w:lang w:val="en-GB"/>
    </w:rPr>
  </w:style>
  <w:style w:type="character" w:customStyle="1" w:styleId="41">
    <w:name w:val="Balloon Text Char"/>
    <w:link w:val="18"/>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5"/>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Comment Text Char"/>
    <w:link w:val="13"/>
    <w:semiHidden/>
    <w:qFormat/>
    <w:uiPriority w:val="99"/>
    <w:rPr>
      <w:rFonts w:ascii="Times New Roman" w:hAnsi="Times New Roman"/>
      <w:sz w:val="22"/>
      <w:lang w:val="en-GB"/>
    </w:rPr>
  </w:style>
  <w:style w:type="character" w:customStyle="1" w:styleId="48">
    <w:name w:val="Comment Subject Char"/>
    <w:link w:val="12"/>
    <w:semiHidden/>
    <w:qFormat/>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6"/>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Body Text Char"/>
    <w:link w:val="16"/>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List Paragraph Char"/>
    <w:link w:val="71"/>
    <w:qFormat/>
    <w:uiPriority w:val="34"/>
    <w:rPr>
      <w:rFonts w:ascii="Times New Roman" w:hAnsi="Times New Roman" w:eastAsia="MS Gothic"/>
      <w:sz w:val="24"/>
      <w:szCs w:val="24"/>
      <w:lang w:val="en-GB" w:eastAsia="en-US"/>
    </w:rPr>
  </w:style>
  <w:style w:type="paragraph" w:customStyle="1" w:styleId="87">
    <w:name w:val="Editor's Note"/>
    <w:basedOn w:val="5"/>
    <w:link w:val="90"/>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link w:val="94"/>
    <w:qFormat/>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link w:val="95"/>
    <w:qFormat/>
    <w:uiPriority w:val="0"/>
    <w:pPr>
      <w:ind w:left="1985"/>
    </w:pPr>
  </w:style>
  <w:style w:type="character" w:customStyle="1" w:styleId="94">
    <w:name w:val="B5 Char"/>
    <w:link w:val="92"/>
    <w:qFormat/>
    <w:locked/>
    <w:uiPriority w:val="0"/>
    <w:rPr>
      <w:rFonts w:ascii="Times New Roman" w:hAnsi="Times New Roman" w:eastAsia="Malgun Gothic"/>
      <w:lang w:val="en-GB" w:eastAsia="en-US"/>
    </w:rPr>
  </w:style>
  <w:style w:type="character" w:customStyle="1" w:styleId="95">
    <w:name w:val="B6 Char"/>
    <w:link w:val="93"/>
    <w:qFormat/>
    <w:locked/>
    <w:uiPriority w:val="0"/>
    <w:rPr>
      <w:rFonts w:ascii="Times New Roman" w:hAnsi="Times New Roman" w:eastAsia="Malgun Gothic"/>
      <w:lang w:val="en-GB" w:eastAsia="en-US"/>
    </w:rPr>
  </w:style>
  <w:style w:type="paragraph" w:customStyle="1" w:styleId="96">
    <w:name w:val="Editor's Note + Auto"/>
    <w:basedOn w:val="87"/>
    <w:qFormat/>
    <w:uiPriority w:val="0"/>
    <w:pPr>
      <w:overflowPunct w:val="0"/>
      <w:autoSpaceDE w:val="0"/>
      <w:autoSpaceDN w:val="0"/>
      <w:adjustRightInd w:val="0"/>
      <w:textAlignment w:val="baseline"/>
    </w:pPr>
    <w:rPr>
      <w:rFonts w:eastAsia="Times New Roman"/>
      <w:lang w:eastAsia="ja-JP"/>
    </w:rPr>
  </w:style>
  <w:style w:type="character" w:customStyle="1" w:styleId="97">
    <w:name w:val="TF Zchn"/>
    <w:qFormat/>
    <w:uiPriority w:val="0"/>
    <w:rPr>
      <w:rFonts w:ascii="Arial" w:hAnsi="Arial"/>
      <w:b/>
    </w:rPr>
  </w:style>
  <w:style w:type="character" w:customStyle="1" w:styleId="98">
    <w:name w:val="TAH Char"/>
    <w:qFormat/>
    <w:uiPriority w:val="0"/>
    <w:rPr>
      <w:rFonts w:ascii="Arial" w:hAnsi="Arial"/>
      <w:b/>
      <w:sz w:val="18"/>
    </w:rPr>
  </w:style>
  <w:style w:type="paragraph" w:customStyle="1" w:styleId="99">
    <w:name w:val="TAN"/>
    <w:basedOn w:val="51"/>
    <w:qFormat/>
    <w:uiPriority w:val="0"/>
    <w:pPr>
      <w:overflowPunct w:val="0"/>
      <w:autoSpaceDE w:val="0"/>
      <w:autoSpaceDN w:val="0"/>
      <w:adjustRightInd w:val="0"/>
      <w:ind w:left="851" w:hanging="851"/>
      <w:textAlignment w:val="baseline"/>
    </w:pPr>
    <w:rPr>
      <w:rFonts w:eastAsia="Times New Roman"/>
      <w:lang w:eastAsia="ja-JP"/>
    </w:rPr>
  </w:style>
  <w:style w:type="character" w:customStyle="1" w:styleId="100">
    <w:name w:val="TAL Car"/>
    <w:qFormat/>
    <w:uiPriority w:val="0"/>
    <w:rPr>
      <w:rFonts w:ascii="Arial" w:hAnsi="Arial" w:eastAsia="Times New Roman"/>
      <w:sz w:val="18"/>
    </w:rPr>
  </w:style>
  <w:style w:type="paragraph" w:customStyle="1" w:styleId="101">
    <w:name w:val="EmailDiscussion"/>
    <w:basedOn w:val="1"/>
    <w:next w:val="102"/>
    <w:qFormat/>
    <w:uiPriority w:val="0"/>
    <w:pPr>
      <w:numPr>
        <w:ilvl w:val="0"/>
        <w:numId w:val="7"/>
      </w:numPr>
      <w:spacing w:before="40" w:after="0" w:line="240" w:lineRule="auto"/>
    </w:pPr>
    <w:rPr>
      <w:rFonts w:ascii="Arial" w:hAnsi="Arial" w:eastAsia="MS Mincho"/>
      <w:b/>
      <w:szCs w:val="24"/>
      <w:lang w:eastAsia="en-GB"/>
    </w:rPr>
  </w:style>
  <w:style w:type="paragraph" w:customStyle="1" w:styleId="102">
    <w:name w:val="EmailDiscussion2"/>
    <w:basedOn w:val="44"/>
    <w:qFormat/>
    <w:uiPriority w:val="99"/>
    <w:pPr>
      <w:spacing w:line="240" w:lineRule="auto"/>
    </w:p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oleObject" Target="embeddings/oleObject1.bin"/><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5.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DDBE72-8E5A-4B4D-98C8-F2E498F30B80}">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6</Pages>
  <Words>1556</Words>
  <Characters>8874</Characters>
  <Lines>73</Lines>
  <Paragraphs>20</Paragraphs>
  <TotalTime>3</TotalTime>
  <ScaleCrop>false</ScaleCrop>
  <LinksUpToDate>false</LinksUpToDate>
  <CharactersWithSpaces>10410</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2020-10-23T05:07:54Z</dcterms:modified>
  <cp:revision>5958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